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rPr>
          <w:color w:val="auto"/>
        </w:rPr>
      </w:pPr>
      <w:r>
        <w:rPr>
          <w:rFonts w:hint="eastAsia" w:ascii="黑体" w:hAnsi="黑体" w:eastAsia="黑体" w:cs="黑体"/>
          <w:b/>
          <w:color w:val="auto"/>
          <w:sz w:val="44"/>
          <w:lang w:eastAsia="zh-CN"/>
        </w:rPr>
        <w:t>涞源县交通运输局</w:t>
      </w:r>
      <w:r>
        <w:rPr>
          <w:rFonts w:ascii="黑体" w:hAnsi="黑体" w:eastAsia="黑体" w:cs="黑体"/>
          <w:b/>
          <w:color w:val="auto"/>
          <w:sz w:val="44"/>
        </w:rPr>
        <w:t>2023年部门预算信息公开目录</w:t>
      </w:r>
    </w:p>
    <w:p>
      <w:pPr>
        <w:spacing w:before="0" w:after="0" w:line="240" w:lineRule="auto"/>
        <w:ind w:firstLine="0"/>
        <w:jc w:val="center"/>
        <w:outlineLvl w:val="9"/>
        <w:rPr>
          <w:color w:val="auto"/>
        </w:rPr>
      </w:pPr>
      <w:r>
        <w:rPr>
          <w:rFonts w:ascii="黑体" w:hAnsi="黑体" w:eastAsia="黑体" w:cs="黑体"/>
          <w:b/>
          <w:color w:val="auto"/>
          <w:sz w:val="30"/>
        </w:rPr>
        <w:t xml:space="preserve"> </w:t>
      </w:r>
    </w:p>
    <w:p>
      <w:pPr>
        <w:spacing w:before="0" w:after="0" w:line="240" w:lineRule="auto"/>
        <w:ind w:firstLine="0"/>
        <w:jc w:val="center"/>
        <w:outlineLvl w:val="9"/>
        <w:rPr>
          <w:color w:val="auto"/>
        </w:rPr>
      </w:pPr>
      <w:r>
        <w:rPr>
          <w:rFonts w:ascii="黑体" w:hAnsi="黑体" w:eastAsia="黑体" w:cs="黑体"/>
          <w:b/>
          <w:color w:val="auto"/>
          <w:sz w:val="30"/>
        </w:rPr>
        <w:t>第一部分  部门预算</w:t>
      </w:r>
    </w:p>
    <w:p>
      <w:pPr>
        <w:spacing w:before="0" w:after="0" w:line="240" w:lineRule="auto"/>
        <w:ind w:firstLine="0"/>
        <w:jc w:val="left"/>
        <w:outlineLvl w:val="9"/>
        <w:rPr>
          <w:color w:val="auto"/>
        </w:rPr>
      </w:pPr>
      <w:r>
        <w:rPr>
          <w:rFonts w:ascii="方正楷体_GBK" w:hAnsi="方正楷体_GBK" w:eastAsia="方正楷体_GBK" w:cs="方正楷体_GBK"/>
          <w:b/>
          <w:color w:val="auto"/>
          <w:sz w:val="28"/>
        </w:rPr>
        <w:t>部门预算公开表</w:t>
      </w:r>
    </w:p>
    <w:p>
      <w:pPr>
        <w:pStyle w:val="3"/>
        <w:tabs>
          <w:tab w:val="right" w:leader="dot" w:pos="14562"/>
        </w:tabs>
        <w:rPr>
          <w:color w:val="auto"/>
        </w:rPr>
      </w:pPr>
      <w:r>
        <w:rPr>
          <w:color w:val="auto"/>
        </w:rPr>
        <w:fldChar w:fldCharType="begin"/>
      </w:r>
      <w:r>
        <w:rPr>
          <w:color w:val="auto"/>
        </w:rPr>
        <w:instrText xml:space="preserve">TOC \o "2-2" \h \z \u</w:instrText>
      </w:r>
      <w:r>
        <w:rPr>
          <w:color w:val="auto"/>
        </w:rPr>
        <w:fldChar w:fldCharType="separate"/>
      </w:r>
      <w:r>
        <w:rPr>
          <w:color w:val="auto"/>
        </w:rPr>
        <w:fldChar w:fldCharType="begin"/>
      </w:r>
      <w:r>
        <w:rPr>
          <w:color w:val="auto"/>
        </w:rPr>
        <w:instrText xml:space="preserve"> HYPERLINK \l "_Toc_2_2_0000000001" </w:instrText>
      </w:r>
      <w:r>
        <w:rPr>
          <w:color w:val="auto"/>
        </w:rPr>
        <w:fldChar w:fldCharType="separate"/>
      </w:r>
      <w:r>
        <w:rPr>
          <w:color w:val="auto"/>
        </w:rPr>
        <w:t>部门预算收支总表</w:t>
      </w:r>
      <w:r>
        <w:rPr>
          <w:color w:val="auto"/>
        </w:rPr>
        <w:tab/>
      </w:r>
      <w:r>
        <w:rPr>
          <w:rFonts w:hint="eastAsia"/>
          <w:color w:val="auto"/>
          <w:lang w:val="en-US" w:eastAsia="zh-CN"/>
        </w:rPr>
        <w:t>3</w:t>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"_Toc_2_2_0000000002" </w:instrText>
      </w:r>
      <w:r>
        <w:rPr>
          <w:color w:val="auto"/>
        </w:rPr>
        <w:fldChar w:fldCharType="separate"/>
      </w:r>
      <w:r>
        <w:rPr>
          <w:color w:val="auto"/>
        </w:rPr>
        <w:t>部门预算收入总表</w:t>
      </w:r>
      <w:r>
        <w:rPr>
          <w:color w:val="auto"/>
        </w:rPr>
        <w:tab/>
      </w:r>
      <w:r>
        <w:rPr>
          <w:color w:val="auto"/>
        </w:rPr>
        <w:fldChar w:fldCharType="begin"/>
      </w:r>
      <w:r>
        <w:rPr>
          <w:color w:val="auto"/>
        </w:rPr>
        <w:instrText xml:space="preserve">PAGEREF _Toc_2_2_0000000002 \h</w:instrText>
      </w:r>
      <w:r>
        <w:rPr>
          <w:color w:val="auto"/>
        </w:rPr>
        <w:fldChar w:fldCharType="separate"/>
      </w:r>
      <w:r>
        <w:rPr>
          <w:color w:val="auto"/>
        </w:rPr>
        <w:t>4</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"_Toc_2_2_0000000003" </w:instrText>
      </w:r>
      <w:r>
        <w:rPr>
          <w:color w:val="auto"/>
        </w:rPr>
        <w:fldChar w:fldCharType="separate"/>
      </w:r>
      <w:r>
        <w:rPr>
          <w:color w:val="auto"/>
        </w:rPr>
        <w:t>部门预算支出总表</w:t>
      </w:r>
      <w:r>
        <w:rPr>
          <w:color w:val="auto"/>
        </w:rPr>
        <w:tab/>
      </w:r>
      <w:r>
        <w:rPr>
          <w:color w:val="auto"/>
        </w:rPr>
        <w:fldChar w:fldCharType="begin"/>
      </w:r>
      <w:r>
        <w:rPr>
          <w:color w:val="auto"/>
        </w:rPr>
        <w:instrText xml:space="preserve">PAGEREF _Toc_2_2_0000000003 \h</w:instrText>
      </w:r>
      <w:r>
        <w:rPr>
          <w:color w:val="auto"/>
        </w:rPr>
        <w:fldChar w:fldCharType="separate"/>
      </w:r>
      <w:r>
        <w:rPr>
          <w:color w:val="auto"/>
        </w:rPr>
        <w:t>6</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"_Toc_2_2_0000000004" </w:instrText>
      </w:r>
      <w:r>
        <w:rPr>
          <w:color w:val="auto"/>
        </w:rPr>
        <w:fldChar w:fldCharType="separate"/>
      </w:r>
      <w:r>
        <w:rPr>
          <w:color w:val="auto"/>
        </w:rPr>
        <w:t>部门预算财政拨款收支总表</w:t>
      </w:r>
      <w:r>
        <w:rPr>
          <w:color w:val="auto"/>
        </w:rPr>
        <w:tab/>
      </w:r>
      <w:r>
        <w:rPr>
          <w:color w:val="auto"/>
        </w:rPr>
        <w:fldChar w:fldCharType="begin"/>
      </w:r>
      <w:r>
        <w:rPr>
          <w:color w:val="auto"/>
        </w:rPr>
        <w:instrText xml:space="preserve">PAGEREF _Toc_2_2_0000000004 \h</w:instrText>
      </w:r>
      <w:r>
        <w:rPr>
          <w:color w:val="auto"/>
        </w:rPr>
        <w:fldChar w:fldCharType="separate"/>
      </w:r>
      <w:r>
        <w:rPr>
          <w:color w:val="auto"/>
        </w:rPr>
        <w:t>8</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"_Toc_2_2_0000000005" </w:instrText>
      </w:r>
      <w:r>
        <w:rPr>
          <w:color w:val="auto"/>
        </w:rPr>
        <w:fldChar w:fldCharType="separate"/>
      </w:r>
      <w:r>
        <w:rPr>
          <w:color w:val="auto"/>
        </w:rPr>
        <w:t>部门预算一般公共预算财政拨款支出表</w:t>
      </w:r>
      <w:r>
        <w:rPr>
          <w:color w:val="auto"/>
        </w:rPr>
        <w:tab/>
      </w:r>
      <w:r>
        <w:rPr>
          <w:color w:val="auto"/>
        </w:rPr>
        <w:fldChar w:fldCharType="begin"/>
      </w:r>
      <w:r>
        <w:rPr>
          <w:color w:val="auto"/>
        </w:rPr>
        <w:instrText xml:space="preserve">PAGEREF _Toc_2_2_0000000005 \h</w:instrText>
      </w:r>
      <w:r>
        <w:rPr>
          <w:color w:val="auto"/>
        </w:rPr>
        <w:fldChar w:fldCharType="separate"/>
      </w:r>
      <w:r>
        <w:rPr>
          <w:color w:val="auto"/>
        </w:rPr>
        <w:t>10</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"_Toc_2_2_0000000006" </w:instrText>
      </w:r>
      <w:r>
        <w:rPr>
          <w:color w:val="auto"/>
        </w:rPr>
        <w:fldChar w:fldCharType="separate"/>
      </w:r>
      <w:r>
        <w:rPr>
          <w:color w:val="auto"/>
        </w:rPr>
        <w:t>部门预算一般公共预算财政拨款基本支出表</w:t>
      </w:r>
      <w:r>
        <w:rPr>
          <w:color w:val="auto"/>
        </w:rPr>
        <w:tab/>
      </w:r>
      <w:r>
        <w:rPr>
          <w:color w:val="auto"/>
        </w:rPr>
        <w:fldChar w:fldCharType="begin"/>
      </w:r>
      <w:r>
        <w:rPr>
          <w:color w:val="auto"/>
        </w:rPr>
        <w:instrText xml:space="preserve">PAGEREF _Toc_2_2_0000000006 \h</w:instrText>
      </w:r>
      <w:r>
        <w:rPr>
          <w:color w:val="auto"/>
        </w:rPr>
        <w:fldChar w:fldCharType="separate"/>
      </w:r>
      <w:r>
        <w:rPr>
          <w:color w:val="auto"/>
        </w:rPr>
        <w:t>12</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"_Toc_2_2_0000000007" </w:instrText>
      </w:r>
      <w:r>
        <w:rPr>
          <w:color w:val="auto"/>
        </w:rPr>
        <w:fldChar w:fldCharType="separate"/>
      </w:r>
      <w:r>
        <w:rPr>
          <w:color w:val="auto"/>
        </w:rPr>
        <w:t>部门预算政府基金预算财政拨款支出表</w:t>
      </w:r>
      <w:r>
        <w:rPr>
          <w:color w:val="auto"/>
        </w:rPr>
        <w:tab/>
      </w:r>
      <w:r>
        <w:rPr>
          <w:color w:val="auto"/>
        </w:rPr>
        <w:fldChar w:fldCharType="begin"/>
      </w:r>
      <w:r>
        <w:rPr>
          <w:color w:val="auto"/>
        </w:rPr>
        <w:instrText xml:space="preserve">PAGEREF _Toc_2_2_0000000007 \h</w:instrText>
      </w:r>
      <w:r>
        <w:rPr>
          <w:color w:val="auto"/>
        </w:rPr>
        <w:fldChar w:fldCharType="separate"/>
      </w:r>
      <w:r>
        <w:rPr>
          <w:color w:val="auto"/>
        </w:rPr>
        <w:t>14</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"_Toc_2_2_0000000008" </w:instrText>
      </w:r>
      <w:r>
        <w:rPr>
          <w:color w:val="auto"/>
        </w:rPr>
        <w:fldChar w:fldCharType="separate"/>
      </w:r>
      <w:r>
        <w:rPr>
          <w:color w:val="auto"/>
        </w:rPr>
        <w:t>部门预算国有资本经营预算财政拨款支出表</w:t>
      </w:r>
      <w:r>
        <w:rPr>
          <w:color w:val="auto"/>
        </w:rPr>
        <w:tab/>
      </w:r>
      <w:r>
        <w:rPr>
          <w:color w:val="auto"/>
        </w:rPr>
        <w:fldChar w:fldCharType="begin"/>
      </w:r>
      <w:r>
        <w:rPr>
          <w:color w:val="auto"/>
        </w:rPr>
        <w:instrText xml:space="preserve">PAGEREF _Toc_2_2_0000000008 \h</w:instrText>
      </w:r>
      <w:r>
        <w:rPr>
          <w:color w:val="auto"/>
        </w:rPr>
        <w:fldChar w:fldCharType="separate"/>
      </w:r>
      <w:r>
        <w:rPr>
          <w:color w:val="auto"/>
        </w:rPr>
        <w:t>15</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"_Toc_2_2_0000000009" </w:instrText>
      </w:r>
      <w:r>
        <w:rPr>
          <w:color w:val="auto"/>
        </w:rPr>
        <w:fldChar w:fldCharType="separate"/>
      </w:r>
      <w:r>
        <w:rPr>
          <w:color w:val="auto"/>
        </w:rPr>
        <w:t>部门预算财政拨款“三公”经费支出表</w:t>
      </w:r>
      <w:r>
        <w:rPr>
          <w:color w:val="auto"/>
        </w:rPr>
        <w:tab/>
      </w:r>
      <w:r>
        <w:rPr>
          <w:color w:val="auto"/>
        </w:rPr>
        <w:fldChar w:fldCharType="begin"/>
      </w:r>
      <w:r>
        <w:rPr>
          <w:color w:val="auto"/>
        </w:rPr>
        <w:instrText xml:space="preserve">PAGEREF _Toc_2_2_0000000009 \h</w:instrText>
      </w:r>
      <w:r>
        <w:rPr>
          <w:color w:val="auto"/>
        </w:rPr>
        <w:fldChar w:fldCharType="separate"/>
      </w:r>
      <w:r>
        <w:rPr>
          <w:color w:val="auto"/>
        </w:rPr>
        <w:t>16</w:t>
      </w:r>
      <w:r>
        <w:rPr>
          <w:color w:val="auto"/>
        </w:rPr>
        <w:fldChar w:fldCharType="end"/>
      </w:r>
      <w:r>
        <w:rPr>
          <w:color w:val="auto"/>
        </w:rPr>
        <w:fldChar w:fldCharType="end"/>
      </w:r>
    </w:p>
    <w:p>
      <w:pPr>
        <w:rPr>
          <w:color w:val="auto"/>
        </w:rPr>
      </w:pPr>
      <w:r>
        <w:rPr>
          <w:color w:val="auto"/>
        </w:rPr>
        <w:fldChar w:fldCharType="end"/>
      </w:r>
    </w:p>
    <w:p>
      <w:pPr>
        <w:spacing w:before="0" w:after="0" w:line="240" w:lineRule="auto"/>
        <w:ind w:firstLine="0"/>
        <w:jc w:val="left"/>
        <w:outlineLvl w:val="9"/>
        <w:rPr>
          <w:color w:val="auto"/>
        </w:rPr>
      </w:pPr>
      <w:r>
        <w:rPr>
          <w:rFonts w:ascii="方正楷体_GBK" w:hAnsi="方正楷体_GBK" w:eastAsia="方正楷体_GBK" w:cs="方正楷体_GBK"/>
          <w:b/>
          <w:color w:val="auto"/>
          <w:sz w:val="28"/>
        </w:rPr>
        <w:t>部门预算信息公开情况说明</w:t>
      </w:r>
    </w:p>
    <w:p>
      <w:pPr>
        <w:pStyle w:val="3"/>
        <w:tabs>
          <w:tab w:val="right" w:leader="dot" w:pos="14562"/>
        </w:tabs>
        <w:rPr>
          <w:color w:val="auto"/>
        </w:rPr>
      </w:pPr>
      <w:r>
        <w:rPr>
          <w:color w:val="auto"/>
        </w:rPr>
        <w:fldChar w:fldCharType="begin"/>
      </w:r>
      <w:r>
        <w:rPr>
          <w:color w:val="auto"/>
        </w:rPr>
        <w:instrText xml:space="preserve">TOC \o "3-3" \h \z \u</w:instrText>
      </w:r>
      <w:r>
        <w:rPr>
          <w:color w:val="auto"/>
        </w:rPr>
        <w:fldChar w:fldCharType="separate"/>
      </w:r>
      <w:r>
        <w:rPr>
          <w:color w:val="auto"/>
        </w:rPr>
        <w:fldChar w:fldCharType="begin"/>
      </w:r>
      <w:r>
        <w:rPr>
          <w:color w:val="auto"/>
        </w:rPr>
        <w:instrText xml:space="preserve"> HYPERLINK \l "_Toc_3_3_0000000010" </w:instrText>
      </w:r>
      <w:r>
        <w:rPr>
          <w:color w:val="auto"/>
        </w:rPr>
        <w:fldChar w:fldCharType="separate"/>
      </w:r>
      <w:r>
        <w:rPr>
          <w:color w:val="auto"/>
        </w:rPr>
        <w:t>一、部门职责及机构设置情况</w:t>
      </w:r>
      <w:r>
        <w:rPr>
          <w:color w:val="auto"/>
        </w:rPr>
        <w:tab/>
      </w:r>
      <w:r>
        <w:rPr>
          <w:color w:val="auto"/>
        </w:rPr>
        <w:fldChar w:fldCharType="begin"/>
      </w:r>
      <w:r>
        <w:rPr>
          <w:color w:val="auto"/>
        </w:rPr>
        <w:instrText xml:space="preserve">PAGEREF _Toc_3_3_0000000010 \h</w:instrText>
      </w:r>
      <w:r>
        <w:rPr>
          <w:color w:val="auto"/>
        </w:rPr>
        <w:fldChar w:fldCharType="separate"/>
      </w:r>
      <w:r>
        <w:rPr>
          <w:color w:val="auto"/>
        </w:rPr>
        <w:t>17</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"_Toc_3_3_0000000011" </w:instrText>
      </w:r>
      <w:r>
        <w:rPr>
          <w:color w:val="auto"/>
        </w:rPr>
        <w:fldChar w:fldCharType="separate"/>
      </w:r>
      <w:r>
        <w:rPr>
          <w:color w:val="auto"/>
        </w:rPr>
        <w:t>二、部门预算安排的总体情况</w:t>
      </w:r>
      <w:r>
        <w:rPr>
          <w:color w:val="auto"/>
        </w:rPr>
        <w:tab/>
      </w:r>
      <w:r>
        <w:rPr>
          <w:color w:val="auto"/>
        </w:rPr>
        <w:fldChar w:fldCharType="begin"/>
      </w:r>
      <w:r>
        <w:rPr>
          <w:color w:val="auto"/>
        </w:rPr>
        <w:instrText xml:space="preserve">PAGEREF _Toc_3_3_0000000011 \h</w:instrText>
      </w:r>
      <w:r>
        <w:rPr>
          <w:color w:val="auto"/>
        </w:rPr>
        <w:fldChar w:fldCharType="separate"/>
      </w:r>
      <w:r>
        <w:rPr>
          <w:color w:val="auto"/>
        </w:rPr>
        <w:t>19</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"_Toc_3_3_0000000012" </w:instrText>
      </w:r>
      <w:r>
        <w:rPr>
          <w:color w:val="auto"/>
        </w:rPr>
        <w:fldChar w:fldCharType="separate"/>
      </w:r>
      <w:r>
        <w:rPr>
          <w:color w:val="auto"/>
        </w:rPr>
        <w:t>三、机关运行经费安排情况</w:t>
      </w:r>
      <w:r>
        <w:rPr>
          <w:color w:val="auto"/>
        </w:rPr>
        <w:tab/>
      </w:r>
      <w:r>
        <w:rPr>
          <w:color w:val="auto"/>
        </w:rPr>
        <w:fldChar w:fldCharType="begin"/>
      </w:r>
      <w:r>
        <w:rPr>
          <w:color w:val="auto"/>
        </w:rPr>
        <w:instrText xml:space="preserve">PAGEREF _Toc_3_3_0000000012 \h</w:instrText>
      </w:r>
      <w:r>
        <w:rPr>
          <w:color w:val="auto"/>
        </w:rPr>
        <w:fldChar w:fldCharType="separate"/>
      </w:r>
      <w:r>
        <w:rPr>
          <w:color w:val="auto"/>
        </w:rPr>
        <w:t>20</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"_Toc_3_3_0000000013" </w:instrText>
      </w:r>
      <w:r>
        <w:rPr>
          <w:color w:val="auto"/>
        </w:rPr>
        <w:fldChar w:fldCharType="separate"/>
      </w:r>
      <w:r>
        <w:rPr>
          <w:color w:val="auto"/>
        </w:rPr>
        <w:t>四、财政拨款“三公”经费预算情况及增减变化原因</w:t>
      </w:r>
      <w:r>
        <w:rPr>
          <w:color w:val="auto"/>
        </w:rPr>
        <w:tab/>
      </w:r>
      <w:r>
        <w:rPr>
          <w:color w:val="auto"/>
        </w:rPr>
        <w:fldChar w:fldCharType="begin"/>
      </w:r>
      <w:r>
        <w:rPr>
          <w:color w:val="auto"/>
        </w:rPr>
        <w:instrText xml:space="preserve">PAGEREF _Toc_3_3_0000000013 \h</w:instrText>
      </w:r>
      <w:r>
        <w:rPr>
          <w:color w:val="auto"/>
        </w:rPr>
        <w:fldChar w:fldCharType="separate"/>
      </w:r>
      <w:r>
        <w:rPr>
          <w:color w:val="auto"/>
        </w:rPr>
        <w:t>20</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"_Toc_3_3_0000000014" </w:instrText>
      </w:r>
      <w:r>
        <w:rPr>
          <w:color w:val="auto"/>
        </w:rPr>
        <w:fldChar w:fldCharType="separate"/>
      </w:r>
      <w:r>
        <w:rPr>
          <w:color w:val="auto"/>
        </w:rPr>
        <w:t>五、预算绩效信息</w:t>
      </w:r>
      <w:r>
        <w:rPr>
          <w:color w:val="auto"/>
        </w:rPr>
        <w:tab/>
      </w:r>
      <w:r>
        <w:rPr>
          <w:color w:val="auto"/>
        </w:rPr>
        <w:fldChar w:fldCharType="begin"/>
      </w:r>
      <w:r>
        <w:rPr>
          <w:color w:val="auto"/>
        </w:rPr>
        <w:instrText xml:space="preserve">PAGEREF _Toc_3_3_0000000014 \h</w:instrText>
      </w:r>
      <w:r>
        <w:rPr>
          <w:color w:val="auto"/>
        </w:rPr>
        <w:fldChar w:fldCharType="separate"/>
      </w:r>
      <w:r>
        <w:rPr>
          <w:color w:val="auto"/>
        </w:rPr>
        <w:t>20</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"_Toc_3_3_0000000015" </w:instrText>
      </w:r>
      <w:r>
        <w:rPr>
          <w:color w:val="auto"/>
        </w:rPr>
        <w:fldChar w:fldCharType="separate"/>
      </w:r>
      <w:r>
        <w:rPr>
          <w:color w:val="auto"/>
        </w:rPr>
        <w:t>六、政府采购预算情况</w:t>
      </w:r>
      <w:r>
        <w:rPr>
          <w:color w:val="auto"/>
        </w:rPr>
        <w:tab/>
      </w:r>
      <w:r>
        <w:rPr>
          <w:color w:val="auto"/>
        </w:rPr>
        <w:fldChar w:fldCharType="begin"/>
      </w:r>
      <w:r>
        <w:rPr>
          <w:color w:val="auto"/>
        </w:rPr>
        <w:instrText xml:space="preserve">PAGEREF _Toc_3_3_0000000015 \h</w:instrText>
      </w:r>
      <w:r>
        <w:rPr>
          <w:color w:val="auto"/>
        </w:rPr>
        <w:fldChar w:fldCharType="separate"/>
      </w:r>
      <w:r>
        <w:rPr>
          <w:color w:val="auto"/>
        </w:rPr>
        <w:t>44</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"_Toc_3_3_0000000016" </w:instrText>
      </w:r>
      <w:r>
        <w:rPr>
          <w:color w:val="auto"/>
        </w:rPr>
        <w:fldChar w:fldCharType="separate"/>
      </w:r>
      <w:r>
        <w:rPr>
          <w:color w:val="auto"/>
        </w:rPr>
        <w:t>七、国有资产信息</w:t>
      </w:r>
      <w:r>
        <w:rPr>
          <w:color w:val="auto"/>
        </w:rPr>
        <w:tab/>
      </w:r>
      <w:r>
        <w:rPr>
          <w:color w:val="auto"/>
        </w:rPr>
        <w:fldChar w:fldCharType="begin"/>
      </w:r>
      <w:r>
        <w:rPr>
          <w:color w:val="auto"/>
        </w:rPr>
        <w:instrText xml:space="preserve">PAGEREF _Toc_3_3_0000000016 \h</w:instrText>
      </w:r>
      <w:r>
        <w:rPr>
          <w:color w:val="auto"/>
        </w:rPr>
        <w:fldChar w:fldCharType="separate"/>
      </w:r>
      <w:r>
        <w:rPr>
          <w:color w:val="auto"/>
        </w:rPr>
        <w:t>44</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"_Toc_3_3_0000000017" </w:instrText>
      </w:r>
      <w:r>
        <w:rPr>
          <w:color w:val="auto"/>
        </w:rPr>
        <w:fldChar w:fldCharType="separate"/>
      </w:r>
      <w:r>
        <w:rPr>
          <w:color w:val="auto"/>
        </w:rPr>
        <w:t>八、名词解释</w:t>
      </w:r>
      <w:r>
        <w:rPr>
          <w:color w:val="auto"/>
        </w:rPr>
        <w:tab/>
      </w:r>
      <w:r>
        <w:rPr>
          <w:color w:val="auto"/>
        </w:rPr>
        <w:fldChar w:fldCharType="begin"/>
      </w:r>
      <w:r>
        <w:rPr>
          <w:color w:val="auto"/>
        </w:rPr>
        <w:instrText xml:space="preserve">PAGEREF _Toc_3_3_0000000017 \h</w:instrText>
      </w:r>
      <w:r>
        <w:rPr>
          <w:color w:val="auto"/>
        </w:rPr>
        <w:fldChar w:fldCharType="separate"/>
      </w:r>
      <w:r>
        <w:rPr>
          <w:color w:val="auto"/>
        </w:rPr>
        <w:t>44</w:t>
      </w:r>
      <w:r>
        <w:rPr>
          <w:color w:val="auto"/>
        </w:rPr>
        <w:fldChar w:fldCharType="end"/>
      </w:r>
      <w:r>
        <w:rPr>
          <w:color w:val="auto"/>
        </w:rPr>
        <w:fldChar w:fldCharType="end"/>
      </w:r>
    </w:p>
    <w:p>
      <w:pPr>
        <w:pStyle w:val="3"/>
        <w:tabs>
          <w:tab w:val="right" w:leader="dot" w:pos="14562"/>
        </w:tabs>
        <w:rPr>
          <w:color w:val="auto"/>
        </w:rPr>
      </w:pPr>
      <w:r>
        <w:rPr>
          <w:color w:val="auto"/>
        </w:rPr>
        <w:fldChar w:fldCharType="begin"/>
      </w:r>
      <w:r>
        <w:rPr>
          <w:color w:val="auto"/>
        </w:rPr>
        <w:instrText xml:space="preserve"> HYPERLINK \l "_Toc_3_3_0000000018" </w:instrText>
      </w:r>
      <w:r>
        <w:rPr>
          <w:color w:val="auto"/>
        </w:rPr>
        <w:fldChar w:fldCharType="separate"/>
      </w:r>
      <w:r>
        <w:rPr>
          <w:color w:val="auto"/>
        </w:rPr>
        <w:t>九、其他需要说明的事项</w:t>
      </w:r>
      <w:r>
        <w:rPr>
          <w:color w:val="auto"/>
        </w:rPr>
        <w:tab/>
      </w:r>
      <w:r>
        <w:rPr>
          <w:color w:val="auto"/>
        </w:rPr>
        <w:fldChar w:fldCharType="begin"/>
      </w:r>
      <w:r>
        <w:rPr>
          <w:color w:val="auto"/>
        </w:rPr>
        <w:instrText xml:space="preserve">PAGEREF _Toc_3_3_0000000018 \h</w:instrText>
      </w:r>
      <w:r>
        <w:rPr>
          <w:color w:val="auto"/>
        </w:rPr>
        <w:fldChar w:fldCharType="separate"/>
      </w:r>
      <w:r>
        <w:rPr>
          <w:color w:val="auto"/>
        </w:rPr>
        <w:t>45</w:t>
      </w:r>
      <w:r>
        <w:rPr>
          <w:color w:val="auto"/>
        </w:rPr>
        <w:fldChar w:fldCharType="end"/>
      </w:r>
      <w:r>
        <w:rPr>
          <w:color w:val="auto"/>
        </w:rPr>
        <w:fldChar w:fldCharType="end"/>
      </w:r>
    </w:p>
    <w:p>
      <w:pPr>
        <w:pStyle w:val="3"/>
        <w:tabs>
          <w:tab w:val="right" w:leader="dot" w:pos="14562"/>
        </w:tabs>
        <w:rPr>
          <w:color w:val="auto"/>
        </w:rPr>
      </w:pPr>
      <w:r>
        <w:rPr>
          <w:color w:val="auto"/>
        </w:rPr>
        <w:fldChar w:fldCharType="end"/>
      </w:r>
      <w:r>
        <w:rPr>
          <w:color w:val="auto"/>
        </w:rPr>
        <w:t xml:space="preserve"> </w:t>
      </w:r>
    </w:p>
    <w:p>
      <w:pPr>
        <w:jc w:val="center"/>
        <w:rPr>
          <w:color w:val="auto"/>
        </w:rPr>
      </w:pPr>
      <w:r>
        <w:rPr>
          <w:rFonts w:ascii="方正小标宋_GBK" w:hAnsi="方正小标宋_GBK" w:eastAsia="方正小标宋_GBK" w:cs="方正小标宋_GBK"/>
          <w:color w:val="auto"/>
          <w:sz w:val="44"/>
        </w:rPr>
        <w:t xml:space="preserve"> </w:t>
      </w:r>
    </w:p>
    <w:p>
      <w:pPr>
        <w:jc w:val="center"/>
        <w:rPr>
          <w:color w:val="auto"/>
        </w:rPr>
      </w:pPr>
      <w:r>
        <w:rPr>
          <w:rFonts w:ascii="方正小标宋_GBK" w:hAnsi="方正小标宋_GBK" w:eastAsia="方正小标宋_GBK" w:cs="方正小标宋_GBK"/>
          <w:color w:val="auto"/>
          <w:sz w:val="44"/>
        </w:rPr>
        <w:t xml:space="preserve"> </w:t>
      </w:r>
    </w:p>
    <w:p>
      <w:pPr>
        <w:jc w:val="center"/>
        <w:rPr>
          <w:color w:val="auto"/>
        </w:rPr>
      </w:pPr>
      <w:r>
        <w:rPr>
          <w:rFonts w:ascii="方正小标宋_GBK" w:hAnsi="方正小标宋_GBK" w:eastAsia="方正小标宋_GBK" w:cs="方正小标宋_GBK"/>
          <w:color w:val="auto"/>
          <w:sz w:val="44"/>
        </w:rPr>
        <w:t xml:space="preserve"> </w:t>
      </w:r>
    </w:p>
    <w:p>
      <w:pPr>
        <w:jc w:val="center"/>
        <w:outlineLvl w:val="3"/>
        <w:rPr>
          <w:rFonts w:ascii="方正小标宋_GBK" w:hAnsi="方正小标宋_GBK" w:eastAsia="方正小标宋_GBK" w:cs="方正小标宋_GBK"/>
          <w:color w:val="auto"/>
          <w:sz w:val="44"/>
        </w:rPr>
      </w:pPr>
      <w:r>
        <w:rPr>
          <w:rFonts w:ascii="方正小标宋_GBK" w:hAnsi="方正小标宋_GBK" w:eastAsia="方正小标宋_GBK" w:cs="方正小标宋_GBK"/>
          <w:color w:val="auto"/>
          <w:sz w:val="44"/>
        </w:rPr>
        <w:t>第一部分  部门预算</w:t>
      </w:r>
    </w:p>
    <w:p>
      <w:pPr>
        <w:jc w:val="center"/>
        <w:rPr>
          <w:color w:val="auto"/>
        </w:rPr>
      </w:pPr>
      <w:r>
        <w:rPr>
          <w:rFonts w:ascii="方正小标宋_GBK" w:hAnsi="方正小标宋_GBK" w:eastAsia="方正小标宋_GBK" w:cs="方正小标宋_GBK"/>
          <w:color w:val="auto"/>
          <w:sz w:val="44"/>
        </w:rPr>
        <w:t xml:space="preserve"> </w:t>
      </w:r>
    </w:p>
    <w:p>
      <w:pPr>
        <w:jc w:val="center"/>
        <w:outlineLvl w:val="0"/>
        <w:rPr>
          <w:color w:val="auto"/>
        </w:r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126"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6661"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6662" w:type="dxa"/>
            <w:gridSpan w:val="2"/>
            <w:vAlign w:val="center"/>
          </w:tcPr>
          <w:p>
            <w:pPr>
              <w:pStyle w:val="13"/>
              <w:rPr>
                <w:color w:val="auto"/>
              </w:rPr>
            </w:pPr>
            <w:r>
              <w:rPr>
                <w:color w:val="auto"/>
              </w:rPr>
              <w:t>收入</w:t>
            </w:r>
          </w:p>
        </w:tc>
        <w:tc>
          <w:tcPr>
            <w:tcW w:w="6661" w:type="dxa"/>
            <w:gridSpan w:val="2"/>
            <w:vAlign w:val="center"/>
          </w:tcPr>
          <w:p>
            <w:pPr>
              <w:pStyle w:val="13"/>
              <w:rPr>
                <w:color w:val="auto"/>
              </w:rPr>
            </w:pPr>
            <w:r>
              <w:rPr>
                <w:color w:val="auto"/>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4536" w:type="dxa"/>
            <w:vAlign w:val="center"/>
          </w:tcPr>
          <w:p>
            <w:pPr>
              <w:pStyle w:val="13"/>
              <w:rPr>
                <w:color w:val="auto"/>
              </w:rPr>
            </w:pPr>
            <w:r>
              <w:rPr>
                <w:color w:val="auto"/>
              </w:rPr>
              <w:t>项  目</w:t>
            </w:r>
          </w:p>
        </w:tc>
        <w:tc>
          <w:tcPr>
            <w:tcW w:w="2126" w:type="dxa"/>
            <w:vAlign w:val="center"/>
          </w:tcPr>
          <w:p>
            <w:pPr>
              <w:pStyle w:val="13"/>
              <w:rPr>
                <w:color w:val="auto"/>
              </w:rPr>
            </w:pPr>
            <w:r>
              <w:rPr>
                <w:color w:val="auto"/>
              </w:rPr>
              <w:t>预算数</w:t>
            </w:r>
          </w:p>
        </w:tc>
        <w:tc>
          <w:tcPr>
            <w:tcW w:w="4535" w:type="dxa"/>
            <w:vAlign w:val="center"/>
          </w:tcPr>
          <w:p>
            <w:pPr>
              <w:pStyle w:val="13"/>
              <w:rPr>
                <w:color w:val="auto"/>
              </w:rPr>
            </w:pPr>
            <w:r>
              <w:rPr>
                <w:color w:val="auto"/>
              </w:rPr>
              <w:t>项  目</w:t>
            </w:r>
          </w:p>
        </w:tc>
        <w:tc>
          <w:tcPr>
            <w:tcW w:w="2126" w:type="dxa"/>
            <w:vAlign w:val="center"/>
          </w:tcPr>
          <w:p>
            <w:pPr>
              <w:pStyle w:val="13"/>
              <w:rPr>
                <w:color w:val="auto"/>
              </w:rPr>
            </w:pPr>
            <w:r>
              <w:rPr>
                <w:color w:val="auto"/>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4536" w:type="dxa"/>
            <w:vAlign w:val="center"/>
          </w:tcPr>
          <w:p>
            <w:pPr>
              <w:pStyle w:val="13"/>
              <w:rPr>
                <w:color w:val="auto"/>
              </w:rPr>
            </w:pPr>
            <w:r>
              <w:rPr>
                <w:color w:val="auto"/>
              </w:rPr>
              <w:t>1</w:t>
            </w:r>
          </w:p>
        </w:tc>
        <w:tc>
          <w:tcPr>
            <w:tcW w:w="2126" w:type="dxa"/>
            <w:vAlign w:val="center"/>
          </w:tcPr>
          <w:p>
            <w:pPr>
              <w:pStyle w:val="13"/>
              <w:rPr>
                <w:color w:val="auto"/>
              </w:rPr>
            </w:pPr>
            <w:r>
              <w:rPr>
                <w:color w:val="auto"/>
              </w:rPr>
              <w:t>2</w:t>
            </w:r>
          </w:p>
        </w:tc>
        <w:tc>
          <w:tcPr>
            <w:tcW w:w="4535" w:type="dxa"/>
            <w:vAlign w:val="center"/>
          </w:tcPr>
          <w:p>
            <w:pPr>
              <w:pStyle w:val="13"/>
              <w:rPr>
                <w:color w:val="auto"/>
              </w:rPr>
            </w:pPr>
            <w:r>
              <w:rPr>
                <w:color w:val="auto"/>
              </w:rPr>
              <w:t>3</w:t>
            </w:r>
          </w:p>
        </w:tc>
        <w:tc>
          <w:tcPr>
            <w:tcW w:w="2126" w:type="dxa"/>
            <w:vAlign w:val="center"/>
          </w:tcPr>
          <w:p>
            <w:pPr>
              <w:pStyle w:val="13"/>
              <w:rPr>
                <w:color w:val="auto"/>
              </w:rPr>
            </w:pPr>
            <w:r>
              <w:rPr>
                <w:color w:val="auto"/>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w:t>
            </w:r>
          </w:p>
        </w:tc>
        <w:tc>
          <w:tcPr>
            <w:tcW w:w="4536" w:type="dxa"/>
            <w:vAlign w:val="center"/>
          </w:tcPr>
          <w:p>
            <w:pPr>
              <w:pStyle w:val="15"/>
              <w:rPr>
                <w:color w:val="auto"/>
              </w:rPr>
            </w:pPr>
            <w:r>
              <w:rPr>
                <w:color w:val="auto"/>
              </w:rPr>
              <w:t>一、一般公共预算拨款收入</w:t>
            </w:r>
          </w:p>
        </w:tc>
        <w:tc>
          <w:tcPr>
            <w:tcW w:w="2126" w:type="dxa"/>
            <w:vAlign w:val="center"/>
          </w:tcPr>
          <w:p>
            <w:pPr>
              <w:pStyle w:val="14"/>
              <w:rPr>
                <w:color w:val="auto"/>
              </w:rPr>
            </w:pPr>
            <w:r>
              <w:rPr>
                <w:color w:val="auto"/>
              </w:rPr>
              <w:t>6713.42</w:t>
            </w:r>
          </w:p>
        </w:tc>
        <w:tc>
          <w:tcPr>
            <w:tcW w:w="4535" w:type="dxa"/>
            <w:vAlign w:val="center"/>
          </w:tcPr>
          <w:p>
            <w:pPr>
              <w:pStyle w:val="15"/>
              <w:rPr>
                <w:color w:val="auto"/>
              </w:rPr>
            </w:pPr>
            <w:r>
              <w:rPr>
                <w:color w:val="auto"/>
              </w:rPr>
              <w:t>一、一般公共服务支出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w:t>
            </w:r>
          </w:p>
        </w:tc>
        <w:tc>
          <w:tcPr>
            <w:tcW w:w="4536" w:type="dxa"/>
            <w:vAlign w:val="center"/>
          </w:tcPr>
          <w:p>
            <w:pPr>
              <w:pStyle w:val="15"/>
              <w:rPr>
                <w:color w:val="auto"/>
              </w:rPr>
            </w:pPr>
            <w:r>
              <w:rPr>
                <w:color w:val="auto"/>
              </w:rPr>
              <w:t>二、政府性基金预算拨款收入</w:t>
            </w:r>
          </w:p>
        </w:tc>
        <w:tc>
          <w:tcPr>
            <w:tcW w:w="2126" w:type="dxa"/>
            <w:vAlign w:val="center"/>
          </w:tcPr>
          <w:p>
            <w:pPr>
              <w:pStyle w:val="14"/>
              <w:rPr>
                <w:color w:val="auto"/>
              </w:rPr>
            </w:pPr>
          </w:p>
        </w:tc>
        <w:tc>
          <w:tcPr>
            <w:tcW w:w="4535" w:type="dxa"/>
            <w:vAlign w:val="center"/>
          </w:tcPr>
          <w:p>
            <w:pPr>
              <w:pStyle w:val="15"/>
              <w:rPr>
                <w:color w:val="auto"/>
              </w:rPr>
            </w:pPr>
            <w:r>
              <w:rPr>
                <w:color w:val="auto"/>
              </w:rPr>
              <w:t>二、外交支出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w:t>
            </w:r>
          </w:p>
        </w:tc>
        <w:tc>
          <w:tcPr>
            <w:tcW w:w="4536" w:type="dxa"/>
            <w:vAlign w:val="center"/>
          </w:tcPr>
          <w:p>
            <w:pPr>
              <w:pStyle w:val="15"/>
              <w:rPr>
                <w:color w:val="auto"/>
              </w:rPr>
            </w:pPr>
            <w:r>
              <w:rPr>
                <w:color w:val="auto"/>
              </w:rPr>
              <w:t>三、国有资本经营预算拨款收入</w:t>
            </w:r>
          </w:p>
        </w:tc>
        <w:tc>
          <w:tcPr>
            <w:tcW w:w="2126" w:type="dxa"/>
            <w:vAlign w:val="center"/>
          </w:tcPr>
          <w:p>
            <w:pPr>
              <w:pStyle w:val="14"/>
              <w:rPr>
                <w:color w:val="auto"/>
              </w:rPr>
            </w:pPr>
          </w:p>
        </w:tc>
        <w:tc>
          <w:tcPr>
            <w:tcW w:w="4535" w:type="dxa"/>
            <w:vAlign w:val="center"/>
          </w:tcPr>
          <w:p>
            <w:pPr>
              <w:pStyle w:val="15"/>
              <w:rPr>
                <w:color w:val="auto"/>
              </w:rPr>
            </w:pPr>
            <w:r>
              <w:rPr>
                <w:color w:val="auto"/>
              </w:rPr>
              <w:t>三、国防支出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4</w:t>
            </w:r>
          </w:p>
        </w:tc>
        <w:tc>
          <w:tcPr>
            <w:tcW w:w="4536" w:type="dxa"/>
            <w:vAlign w:val="center"/>
          </w:tcPr>
          <w:p>
            <w:pPr>
              <w:pStyle w:val="15"/>
              <w:rPr>
                <w:color w:val="auto"/>
              </w:rPr>
            </w:pPr>
            <w:r>
              <w:rPr>
                <w:color w:val="auto"/>
              </w:rPr>
              <w:t>四、财政专户管理资金收入</w:t>
            </w:r>
          </w:p>
        </w:tc>
        <w:tc>
          <w:tcPr>
            <w:tcW w:w="2126" w:type="dxa"/>
            <w:vAlign w:val="center"/>
          </w:tcPr>
          <w:p>
            <w:pPr>
              <w:pStyle w:val="14"/>
              <w:rPr>
                <w:color w:val="auto"/>
              </w:rPr>
            </w:pPr>
          </w:p>
        </w:tc>
        <w:tc>
          <w:tcPr>
            <w:tcW w:w="4535" w:type="dxa"/>
            <w:vAlign w:val="center"/>
          </w:tcPr>
          <w:p>
            <w:pPr>
              <w:pStyle w:val="15"/>
              <w:rPr>
                <w:color w:val="auto"/>
              </w:rPr>
            </w:pPr>
            <w:r>
              <w:rPr>
                <w:color w:val="auto"/>
              </w:rPr>
              <w:t>四、公共安全支出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5</w:t>
            </w:r>
          </w:p>
        </w:tc>
        <w:tc>
          <w:tcPr>
            <w:tcW w:w="4536" w:type="dxa"/>
            <w:vAlign w:val="center"/>
          </w:tcPr>
          <w:p>
            <w:pPr>
              <w:pStyle w:val="15"/>
              <w:rPr>
                <w:color w:val="auto"/>
              </w:rPr>
            </w:pPr>
            <w:r>
              <w:rPr>
                <w:color w:val="auto"/>
              </w:rPr>
              <w:t>五、事业收入</w:t>
            </w:r>
          </w:p>
        </w:tc>
        <w:tc>
          <w:tcPr>
            <w:tcW w:w="2126" w:type="dxa"/>
            <w:vAlign w:val="center"/>
          </w:tcPr>
          <w:p>
            <w:pPr>
              <w:pStyle w:val="14"/>
              <w:rPr>
                <w:color w:val="auto"/>
              </w:rPr>
            </w:pPr>
          </w:p>
        </w:tc>
        <w:tc>
          <w:tcPr>
            <w:tcW w:w="4535" w:type="dxa"/>
            <w:vAlign w:val="center"/>
          </w:tcPr>
          <w:p>
            <w:pPr>
              <w:pStyle w:val="15"/>
              <w:rPr>
                <w:color w:val="auto"/>
              </w:rPr>
            </w:pPr>
            <w:r>
              <w:rPr>
                <w:color w:val="auto"/>
              </w:rPr>
              <w:t>五、教育支出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6</w:t>
            </w:r>
          </w:p>
        </w:tc>
        <w:tc>
          <w:tcPr>
            <w:tcW w:w="4536" w:type="dxa"/>
            <w:vAlign w:val="center"/>
          </w:tcPr>
          <w:p>
            <w:pPr>
              <w:pStyle w:val="15"/>
              <w:rPr>
                <w:color w:val="auto"/>
              </w:rPr>
            </w:pPr>
            <w:r>
              <w:rPr>
                <w:color w:val="auto"/>
              </w:rPr>
              <w:t>六、事业单位经营收入</w:t>
            </w:r>
          </w:p>
        </w:tc>
        <w:tc>
          <w:tcPr>
            <w:tcW w:w="2126" w:type="dxa"/>
            <w:vAlign w:val="center"/>
          </w:tcPr>
          <w:p>
            <w:pPr>
              <w:pStyle w:val="14"/>
              <w:rPr>
                <w:color w:val="auto"/>
              </w:rPr>
            </w:pPr>
          </w:p>
        </w:tc>
        <w:tc>
          <w:tcPr>
            <w:tcW w:w="4535" w:type="dxa"/>
            <w:vAlign w:val="center"/>
          </w:tcPr>
          <w:p>
            <w:pPr>
              <w:pStyle w:val="15"/>
              <w:rPr>
                <w:color w:val="auto"/>
              </w:rPr>
            </w:pPr>
            <w:r>
              <w:rPr>
                <w:color w:val="auto"/>
              </w:rPr>
              <w:t>六、科学技术支出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7</w:t>
            </w:r>
          </w:p>
        </w:tc>
        <w:tc>
          <w:tcPr>
            <w:tcW w:w="4536" w:type="dxa"/>
            <w:vAlign w:val="center"/>
          </w:tcPr>
          <w:p>
            <w:pPr>
              <w:pStyle w:val="15"/>
              <w:rPr>
                <w:color w:val="auto"/>
              </w:rPr>
            </w:pPr>
            <w:r>
              <w:rPr>
                <w:color w:val="auto"/>
              </w:rPr>
              <w:t>七、上级补助收入</w:t>
            </w:r>
          </w:p>
        </w:tc>
        <w:tc>
          <w:tcPr>
            <w:tcW w:w="2126" w:type="dxa"/>
            <w:vAlign w:val="center"/>
          </w:tcPr>
          <w:p>
            <w:pPr>
              <w:pStyle w:val="14"/>
              <w:rPr>
                <w:color w:val="auto"/>
              </w:rPr>
            </w:pPr>
          </w:p>
        </w:tc>
        <w:tc>
          <w:tcPr>
            <w:tcW w:w="4535" w:type="dxa"/>
            <w:vAlign w:val="center"/>
          </w:tcPr>
          <w:p>
            <w:pPr>
              <w:pStyle w:val="15"/>
              <w:rPr>
                <w:color w:val="auto"/>
              </w:rPr>
            </w:pPr>
            <w:r>
              <w:rPr>
                <w:color w:val="auto"/>
              </w:rPr>
              <w:t>七、文化旅游体育与传媒支出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8</w:t>
            </w:r>
          </w:p>
        </w:tc>
        <w:tc>
          <w:tcPr>
            <w:tcW w:w="4536" w:type="dxa"/>
            <w:vAlign w:val="center"/>
          </w:tcPr>
          <w:p>
            <w:pPr>
              <w:pStyle w:val="15"/>
              <w:rPr>
                <w:color w:val="auto"/>
              </w:rPr>
            </w:pPr>
            <w:r>
              <w:rPr>
                <w:color w:val="auto"/>
              </w:rPr>
              <w:t>八、附属单位上缴收入</w:t>
            </w:r>
          </w:p>
        </w:tc>
        <w:tc>
          <w:tcPr>
            <w:tcW w:w="2126" w:type="dxa"/>
            <w:vAlign w:val="center"/>
          </w:tcPr>
          <w:p>
            <w:pPr>
              <w:pStyle w:val="14"/>
              <w:rPr>
                <w:color w:val="auto"/>
              </w:rPr>
            </w:pPr>
          </w:p>
        </w:tc>
        <w:tc>
          <w:tcPr>
            <w:tcW w:w="4535" w:type="dxa"/>
            <w:vAlign w:val="center"/>
          </w:tcPr>
          <w:p>
            <w:pPr>
              <w:pStyle w:val="15"/>
              <w:rPr>
                <w:color w:val="auto"/>
              </w:rPr>
            </w:pPr>
            <w:r>
              <w:rPr>
                <w:color w:val="auto"/>
              </w:rPr>
              <w:t>八、社会保障和就业支出</w:t>
            </w:r>
          </w:p>
        </w:tc>
        <w:tc>
          <w:tcPr>
            <w:tcW w:w="2126" w:type="dxa"/>
            <w:vAlign w:val="center"/>
          </w:tcPr>
          <w:p>
            <w:pPr>
              <w:pStyle w:val="14"/>
              <w:rPr>
                <w:color w:val="auto"/>
              </w:rPr>
            </w:pPr>
            <w:r>
              <w:rPr>
                <w:color w:val="auto"/>
              </w:rPr>
              <w:t>996.64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9</w:t>
            </w:r>
          </w:p>
        </w:tc>
        <w:tc>
          <w:tcPr>
            <w:tcW w:w="4536" w:type="dxa"/>
            <w:vAlign w:val="center"/>
          </w:tcPr>
          <w:p>
            <w:pPr>
              <w:pStyle w:val="15"/>
              <w:rPr>
                <w:color w:val="auto"/>
              </w:rPr>
            </w:pPr>
            <w:r>
              <w:rPr>
                <w:color w:val="auto"/>
              </w:rPr>
              <w:t>九、其他收入</w:t>
            </w:r>
          </w:p>
        </w:tc>
        <w:tc>
          <w:tcPr>
            <w:tcW w:w="2126" w:type="dxa"/>
            <w:vAlign w:val="center"/>
          </w:tcPr>
          <w:p>
            <w:pPr>
              <w:pStyle w:val="14"/>
              <w:rPr>
                <w:color w:val="auto"/>
              </w:rPr>
            </w:pPr>
          </w:p>
        </w:tc>
        <w:tc>
          <w:tcPr>
            <w:tcW w:w="4535" w:type="dxa"/>
            <w:vAlign w:val="center"/>
          </w:tcPr>
          <w:p>
            <w:pPr>
              <w:pStyle w:val="15"/>
              <w:rPr>
                <w:color w:val="auto"/>
              </w:rPr>
            </w:pPr>
            <w:r>
              <w:rPr>
                <w:color w:val="auto"/>
              </w:rPr>
              <w:t>九、社会保险基金支出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10</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十、卫生健康支出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11</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十一、节能环保支出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12</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十二、城乡社区支出</w:t>
            </w:r>
          </w:p>
        </w:tc>
        <w:tc>
          <w:tcPr>
            <w:tcW w:w="2126"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13</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十三、农林水支出</w:t>
            </w:r>
          </w:p>
        </w:tc>
        <w:tc>
          <w:tcPr>
            <w:tcW w:w="2126"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14</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十四、交通运输支出</w:t>
            </w:r>
          </w:p>
        </w:tc>
        <w:tc>
          <w:tcPr>
            <w:tcW w:w="2126"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7924.74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15</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十五、资源勘探工业信息等支出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16</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十六、商业服务业等支出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17</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十七、金融支出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18</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十八、援助其他地区支出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19</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十九、自然资源海洋气象等支出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20</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二十、住房保障支出</w:t>
            </w:r>
          </w:p>
        </w:tc>
        <w:tc>
          <w:tcPr>
            <w:tcW w:w="2126" w:type="dxa"/>
            <w:vAlign w:val="center"/>
          </w:tcPr>
          <w:p>
            <w:pPr>
              <w:pStyle w:val="14"/>
              <w:rPr>
                <w:color w:val="auto"/>
              </w:rPr>
            </w:pPr>
            <w:r>
              <w:rPr>
                <w:color w:val="auto"/>
              </w:rPr>
              <w:t>146.75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21</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二十一、粮油物资储备支出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22</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二十二、国有资本经营预算支出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23</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二十三、灾害防治及应急管理支出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24</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二十四、预备费</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25</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二十五、其他支出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26</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二十六、转移性支出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27</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二十七、债务还本支出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28</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二十八、债务付息支出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29</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二十九、债务发行费用支出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30</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三十、抗疫特别国债安排的支出</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31</w:t>
            </w:r>
          </w:p>
        </w:tc>
        <w:tc>
          <w:tcPr>
            <w:tcW w:w="4536" w:type="dxa"/>
            <w:vAlign w:val="center"/>
          </w:tcPr>
          <w:p>
            <w:pPr>
              <w:pStyle w:val="15"/>
              <w:rPr>
                <w:color w:val="auto"/>
              </w:rPr>
            </w:pPr>
          </w:p>
        </w:tc>
        <w:tc>
          <w:tcPr>
            <w:tcW w:w="2126" w:type="dxa"/>
            <w:vAlign w:val="center"/>
          </w:tcPr>
          <w:p>
            <w:pPr>
              <w:pStyle w:val="14"/>
              <w:rPr>
                <w:color w:val="auto"/>
              </w:rPr>
            </w:pPr>
          </w:p>
        </w:tc>
        <w:tc>
          <w:tcPr>
            <w:tcW w:w="4535" w:type="dxa"/>
            <w:vAlign w:val="center"/>
          </w:tcPr>
          <w:p>
            <w:pPr>
              <w:pStyle w:val="15"/>
              <w:rPr>
                <w:color w:val="auto"/>
              </w:rPr>
            </w:pPr>
            <w:r>
              <w:rPr>
                <w:color w:val="auto"/>
              </w:rPr>
              <w:t>三十一、人行科目</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32</w:t>
            </w:r>
          </w:p>
        </w:tc>
        <w:tc>
          <w:tcPr>
            <w:tcW w:w="4536" w:type="dxa"/>
            <w:vAlign w:val="center"/>
          </w:tcPr>
          <w:p>
            <w:pPr>
              <w:pStyle w:val="17"/>
              <w:rPr>
                <w:color w:val="auto"/>
              </w:rPr>
            </w:pPr>
            <w:r>
              <w:rPr>
                <w:color w:val="auto"/>
              </w:rPr>
              <w:t>本年收入合计</w:t>
            </w:r>
          </w:p>
        </w:tc>
        <w:tc>
          <w:tcPr>
            <w:tcW w:w="2126" w:type="dxa"/>
            <w:vAlign w:val="center"/>
          </w:tcPr>
          <w:p>
            <w:pPr>
              <w:pStyle w:val="18"/>
              <w:rPr>
                <w:color w:val="auto"/>
              </w:rPr>
            </w:pPr>
            <w:r>
              <w:rPr>
                <w:color w:val="auto"/>
              </w:rPr>
              <w:t>6713.42</w:t>
            </w:r>
          </w:p>
        </w:tc>
        <w:tc>
          <w:tcPr>
            <w:tcW w:w="4535" w:type="dxa"/>
            <w:vAlign w:val="center"/>
          </w:tcPr>
          <w:p>
            <w:pPr>
              <w:pStyle w:val="17"/>
              <w:rPr>
                <w:color w:val="auto"/>
              </w:rPr>
            </w:pPr>
            <w:r>
              <w:rPr>
                <w:color w:val="auto"/>
              </w:rPr>
              <w:t>本年支出合计</w:t>
            </w:r>
          </w:p>
        </w:tc>
        <w:tc>
          <w:tcPr>
            <w:tcW w:w="2126" w:type="dxa"/>
            <w:vAlign w:val="center"/>
          </w:tcPr>
          <w:p>
            <w:pPr>
              <w:pStyle w:val="18"/>
              <w:rPr>
                <w:color w:val="auto"/>
              </w:rPr>
            </w:pPr>
            <w:r>
              <w:rPr>
                <w:color w:val="auto"/>
              </w:rPr>
              <w:t>13336.12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33</w:t>
            </w:r>
          </w:p>
        </w:tc>
        <w:tc>
          <w:tcPr>
            <w:tcW w:w="4536" w:type="dxa"/>
            <w:vAlign w:val="center"/>
          </w:tcPr>
          <w:p>
            <w:pPr>
              <w:pStyle w:val="15"/>
              <w:rPr>
                <w:color w:val="auto"/>
              </w:rPr>
            </w:pPr>
            <w:r>
              <w:rPr>
                <w:color w:val="auto"/>
              </w:rPr>
              <w:t>上年结转结余</w:t>
            </w:r>
          </w:p>
        </w:tc>
        <w:tc>
          <w:tcPr>
            <w:tcW w:w="2126" w:type="dxa"/>
            <w:vAlign w:val="center"/>
          </w:tcPr>
          <w:p>
            <w:pPr>
              <w:pStyle w:val="14"/>
              <w:rPr>
                <w:color w:val="auto"/>
              </w:rPr>
            </w:pPr>
            <w:r>
              <w:rPr>
                <w:color w:val="auto"/>
              </w:rPr>
              <w:t>6622.70</w:t>
            </w:r>
          </w:p>
        </w:tc>
        <w:tc>
          <w:tcPr>
            <w:tcW w:w="4535" w:type="dxa"/>
            <w:vAlign w:val="center"/>
          </w:tcPr>
          <w:p>
            <w:pPr>
              <w:pStyle w:val="15"/>
              <w:rPr>
                <w:color w:val="auto"/>
              </w:rPr>
            </w:pPr>
            <w:r>
              <w:rPr>
                <w:color w:val="auto"/>
              </w:rPr>
              <w:t>年终结转结余</w:t>
            </w:r>
          </w:p>
        </w:tc>
        <w:tc>
          <w:tcPr>
            <w:tcW w:w="2126"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34</w:t>
            </w:r>
          </w:p>
        </w:tc>
        <w:tc>
          <w:tcPr>
            <w:tcW w:w="4536" w:type="dxa"/>
            <w:vAlign w:val="center"/>
          </w:tcPr>
          <w:p>
            <w:pPr>
              <w:pStyle w:val="17"/>
              <w:rPr>
                <w:color w:val="auto"/>
              </w:rPr>
            </w:pPr>
            <w:r>
              <w:rPr>
                <w:color w:val="auto"/>
              </w:rPr>
              <w:t>收入总计</w:t>
            </w:r>
          </w:p>
        </w:tc>
        <w:tc>
          <w:tcPr>
            <w:tcW w:w="2126"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13336.12</w:t>
            </w:r>
          </w:p>
        </w:tc>
        <w:tc>
          <w:tcPr>
            <w:tcW w:w="4535" w:type="dxa"/>
            <w:vAlign w:val="center"/>
          </w:tcPr>
          <w:p>
            <w:pPr>
              <w:pStyle w:val="17"/>
              <w:rPr>
                <w:color w:val="auto"/>
              </w:rPr>
            </w:pPr>
            <w:r>
              <w:rPr>
                <w:color w:val="auto"/>
              </w:rPr>
              <w:t>支出总计</w:t>
            </w:r>
          </w:p>
        </w:tc>
        <w:tc>
          <w:tcPr>
            <w:tcW w:w="2126"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13336.12</w:t>
            </w:r>
          </w:p>
        </w:tc>
      </w:tr>
    </w:tbl>
    <w:p>
      <w:pPr>
        <w:rPr>
          <w:color w:val="auto"/>
        </w:rPr>
        <w:sectPr>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08"/>
        <w:gridCol w:w="1185"/>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3402" w:type="dxa"/>
            <w:gridSpan w:val="3"/>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670" w:type="dxa"/>
            <w:gridSpan w:val="5"/>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rPr>
                <w:color w:val="auto"/>
              </w:rPr>
            </w:pPr>
            <w:r>
              <w:rPr>
                <w:color w:val="auto"/>
              </w:rPr>
              <w:t>序号</w:t>
            </w:r>
          </w:p>
        </w:tc>
        <w:tc>
          <w:tcPr>
            <w:tcW w:w="2500" w:type="dxa"/>
            <w:gridSpan w:val="2"/>
            <w:vAlign w:val="center"/>
          </w:tcPr>
          <w:p>
            <w:pPr>
              <w:pStyle w:val="13"/>
              <w:rPr>
                <w:color w:val="auto"/>
              </w:rPr>
            </w:pPr>
            <w:r>
              <w:rPr>
                <w:color w:val="auto"/>
              </w:rPr>
              <w:t>功能分类科目</w:t>
            </w:r>
          </w:p>
        </w:tc>
        <w:tc>
          <w:tcPr>
            <w:tcW w:w="1185" w:type="dxa"/>
            <w:vMerge w:val="restart"/>
            <w:vAlign w:val="center"/>
          </w:tcPr>
          <w:p>
            <w:pPr>
              <w:pStyle w:val="13"/>
              <w:rPr>
                <w:color w:val="auto"/>
              </w:rPr>
            </w:pPr>
            <w:r>
              <w:rPr>
                <w:color w:val="auto"/>
              </w:rPr>
              <w:t>合计</w:t>
            </w:r>
          </w:p>
        </w:tc>
        <w:tc>
          <w:tcPr>
            <w:tcW w:w="9072" w:type="dxa"/>
            <w:gridSpan w:val="8"/>
            <w:vAlign w:val="center"/>
          </w:tcPr>
          <w:p>
            <w:pPr>
              <w:pStyle w:val="13"/>
              <w:rPr>
                <w:color w:val="auto"/>
              </w:rPr>
            </w:pPr>
            <w:r>
              <w:rPr>
                <w:color w:val="auto"/>
              </w:rPr>
              <w:t>本年收入</w:t>
            </w:r>
          </w:p>
        </w:tc>
        <w:tc>
          <w:tcPr>
            <w:tcW w:w="1134" w:type="dxa"/>
            <w:vMerge w:val="restart"/>
            <w:vAlign w:val="center"/>
          </w:tcPr>
          <w:p>
            <w:pPr>
              <w:pStyle w:val="13"/>
              <w:rPr>
                <w:color w:val="auto"/>
              </w:rPr>
            </w:pPr>
            <w:r>
              <w:rPr>
                <w:color w:val="auto"/>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color w:val="auto"/>
              </w:rPr>
            </w:pPr>
          </w:p>
        </w:tc>
        <w:tc>
          <w:tcPr>
            <w:tcW w:w="992" w:type="dxa"/>
            <w:vAlign w:val="center"/>
          </w:tcPr>
          <w:p>
            <w:pPr>
              <w:pStyle w:val="13"/>
              <w:rPr>
                <w:color w:val="auto"/>
              </w:rPr>
            </w:pPr>
            <w:r>
              <w:rPr>
                <w:color w:val="auto"/>
              </w:rPr>
              <w:t>科目    编码</w:t>
            </w:r>
          </w:p>
        </w:tc>
        <w:tc>
          <w:tcPr>
            <w:tcW w:w="1508" w:type="dxa"/>
            <w:vAlign w:val="center"/>
          </w:tcPr>
          <w:p>
            <w:pPr>
              <w:pStyle w:val="13"/>
              <w:rPr>
                <w:color w:val="auto"/>
              </w:rPr>
            </w:pPr>
            <w:r>
              <w:rPr>
                <w:color w:val="auto"/>
              </w:rPr>
              <w:t>科目名称</w:t>
            </w:r>
          </w:p>
        </w:tc>
        <w:tc>
          <w:tcPr>
            <w:tcW w:w="1185" w:type="dxa"/>
            <w:vMerge w:val="continue"/>
          </w:tcPr>
          <w:p>
            <w:pPr>
              <w:rPr>
                <w:color w:val="auto"/>
              </w:rPr>
            </w:pPr>
          </w:p>
        </w:tc>
        <w:tc>
          <w:tcPr>
            <w:tcW w:w="1134" w:type="dxa"/>
            <w:vAlign w:val="center"/>
          </w:tcPr>
          <w:p>
            <w:pPr>
              <w:pStyle w:val="13"/>
              <w:rPr>
                <w:color w:val="auto"/>
              </w:rPr>
            </w:pPr>
            <w:r>
              <w:rPr>
                <w:color w:val="auto"/>
              </w:rPr>
              <w:t>小计</w:t>
            </w:r>
          </w:p>
        </w:tc>
        <w:tc>
          <w:tcPr>
            <w:tcW w:w="1134" w:type="dxa"/>
            <w:vAlign w:val="center"/>
          </w:tcPr>
          <w:p>
            <w:pPr>
              <w:pStyle w:val="13"/>
              <w:rPr>
                <w:color w:val="auto"/>
              </w:rPr>
            </w:pPr>
            <w:r>
              <w:rPr>
                <w:color w:val="auto"/>
              </w:rPr>
              <w:t>财政拨款 收入</w:t>
            </w:r>
          </w:p>
        </w:tc>
        <w:tc>
          <w:tcPr>
            <w:tcW w:w="1134" w:type="dxa"/>
            <w:vAlign w:val="center"/>
          </w:tcPr>
          <w:p>
            <w:pPr>
              <w:pStyle w:val="13"/>
              <w:rPr>
                <w:color w:val="auto"/>
              </w:rPr>
            </w:pPr>
            <w:r>
              <w:rPr>
                <w:color w:val="auto"/>
              </w:rPr>
              <w:t>财政专户 收入</w:t>
            </w:r>
          </w:p>
        </w:tc>
        <w:tc>
          <w:tcPr>
            <w:tcW w:w="1134" w:type="dxa"/>
            <w:vAlign w:val="center"/>
          </w:tcPr>
          <w:p>
            <w:pPr>
              <w:pStyle w:val="13"/>
              <w:rPr>
                <w:color w:val="auto"/>
              </w:rPr>
            </w:pPr>
            <w:r>
              <w:rPr>
                <w:color w:val="auto"/>
              </w:rPr>
              <w:t>事业收入</w:t>
            </w:r>
          </w:p>
        </w:tc>
        <w:tc>
          <w:tcPr>
            <w:tcW w:w="1134" w:type="dxa"/>
            <w:vAlign w:val="center"/>
          </w:tcPr>
          <w:p>
            <w:pPr>
              <w:pStyle w:val="13"/>
              <w:rPr>
                <w:color w:val="auto"/>
              </w:rPr>
            </w:pPr>
            <w:r>
              <w:rPr>
                <w:color w:val="auto"/>
              </w:rPr>
              <w:t>经营收入</w:t>
            </w:r>
          </w:p>
        </w:tc>
        <w:tc>
          <w:tcPr>
            <w:tcW w:w="1134" w:type="dxa"/>
            <w:vAlign w:val="center"/>
          </w:tcPr>
          <w:p>
            <w:pPr>
              <w:pStyle w:val="13"/>
              <w:rPr>
                <w:color w:val="auto"/>
              </w:rPr>
            </w:pPr>
            <w:r>
              <w:rPr>
                <w:color w:val="auto"/>
              </w:rPr>
              <w:t>上级补助收入</w:t>
            </w:r>
          </w:p>
        </w:tc>
        <w:tc>
          <w:tcPr>
            <w:tcW w:w="1134" w:type="dxa"/>
            <w:vAlign w:val="center"/>
          </w:tcPr>
          <w:p>
            <w:pPr>
              <w:pStyle w:val="13"/>
              <w:rPr>
                <w:color w:val="auto"/>
              </w:rPr>
            </w:pPr>
            <w:r>
              <w:rPr>
                <w:color w:val="auto"/>
              </w:rPr>
              <w:t>附属单位上缴收入</w:t>
            </w:r>
          </w:p>
        </w:tc>
        <w:tc>
          <w:tcPr>
            <w:tcW w:w="1134" w:type="dxa"/>
            <w:vAlign w:val="center"/>
          </w:tcPr>
          <w:p>
            <w:pPr>
              <w:pStyle w:val="13"/>
              <w:rPr>
                <w:color w:val="auto"/>
              </w:rPr>
            </w:pPr>
            <w:r>
              <w:rPr>
                <w:color w:val="auto"/>
              </w:rPr>
              <w:t>其他收入</w:t>
            </w:r>
          </w:p>
        </w:tc>
        <w:tc>
          <w:tcPr>
            <w:tcW w:w="1134" w:type="dxa"/>
            <w:vMerge w:val="continue"/>
          </w:tcPr>
          <w:p>
            <w:pP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rPr>
                <w:color w:val="auto"/>
              </w:rPr>
            </w:pPr>
            <w:r>
              <w:rPr>
                <w:color w:val="auto"/>
              </w:rPr>
              <w:t>栏次</w:t>
            </w:r>
          </w:p>
        </w:tc>
        <w:tc>
          <w:tcPr>
            <w:tcW w:w="992" w:type="dxa"/>
            <w:vAlign w:val="center"/>
          </w:tcPr>
          <w:p>
            <w:pPr>
              <w:pStyle w:val="13"/>
              <w:rPr>
                <w:color w:val="auto"/>
              </w:rPr>
            </w:pPr>
            <w:r>
              <w:rPr>
                <w:color w:val="auto"/>
              </w:rPr>
              <w:t>1</w:t>
            </w:r>
          </w:p>
        </w:tc>
        <w:tc>
          <w:tcPr>
            <w:tcW w:w="1508" w:type="dxa"/>
            <w:vAlign w:val="center"/>
          </w:tcPr>
          <w:p>
            <w:pPr>
              <w:pStyle w:val="13"/>
              <w:rPr>
                <w:color w:val="auto"/>
              </w:rPr>
            </w:pPr>
            <w:r>
              <w:rPr>
                <w:color w:val="auto"/>
              </w:rPr>
              <w:t>2</w:t>
            </w:r>
          </w:p>
        </w:tc>
        <w:tc>
          <w:tcPr>
            <w:tcW w:w="1185" w:type="dxa"/>
            <w:vAlign w:val="center"/>
          </w:tcPr>
          <w:p>
            <w:pPr>
              <w:pStyle w:val="13"/>
              <w:rPr>
                <w:color w:val="auto"/>
              </w:rPr>
            </w:pPr>
            <w:r>
              <w:rPr>
                <w:color w:val="auto"/>
              </w:rPr>
              <w:t>3</w:t>
            </w:r>
          </w:p>
        </w:tc>
        <w:tc>
          <w:tcPr>
            <w:tcW w:w="1134" w:type="dxa"/>
            <w:vAlign w:val="center"/>
          </w:tcPr>
          <w:p>
            <w:pPr>
              <w:pStyle w:val="13"/>
              <w:rPr>
                <w:color w:val="auto"/>
              </w:rPr>
            </w:pPr>
            <w:r>
              <w:rPr>
                <w:color w:val="auto"/>
              </w:rPr>
              <w:t>4</w:t>
            </w:r>
          </w:p>
        </w:tc>
        <w:tc>
          <w:tcPr>
            <w:tcW w:w="1134" w:type="dxa"/>
            <w:vAlign w:val="center"/>
          </w:tcPr>
          <w:p>
            <w:pPr>
              <w:pStyle w:val="13"/>
              <w:rPr>
                <w:color w:val="auto"/>
              </w:rPr>
            </w:pPr>
            <w:r>
              <w:rPr>
                <w:color w:val="auto"/>
              </w:rPr>
              <w:t>5</w:t>
            </w:r>
          </w:p>
        </w:tc>
        <w:tc>
          <w:tcPr>
            <w:tcW w:w="1134" w:type="dxa"/>
            <w:vAlign w:val="center"/>
          </w:tcPr>
          <w:p>
            <w:pPr>
              <w:pStyle w:val="13"/>
              <w:rPr>
                <w:color w:val="auto"/>
              </w:rPr>
            </w:pPr>
            <w:r>
              <w:rPr>
                <w:color w:val="auto"/>
              </w:rPr>
              <w:t>6</w:t>
            </w:r>
          </w:p>
        </w:tc>
        <w:tc>
          <w:tcPr>
            <w:tcW w:w="1134" w:type="dxa"/>
            <w:vAlign w:val="center"/>
          </w:tcPr>
          <w:p>
            <w:pPr>
              <w:pStyle w:val="13"/>
              <w:rPr>
                <w:color w:val="auto"/>
              </w:rPr>
            </w:pPr>
            <w:r>
              <w:rPr>
                <w:color w:val="auto"/>
              </w:rPr>
              <w:t>7</w:t>
            </w:r>
          </w:p>
        </w:tc>
        <w:tc>
          <w:tcPr>
            <w:tcW w:w="1134" w:type="dxa"/>
            <w:vAlign w:val="center"/>
          </w:tcPr>
          <w:p>
            <w:pPr>
              <w:pStyle w:val="13"/>
              <w:rPr>
                <w:color w:val="auto"/>
              </w:rPr>
            </w:pPr>
            <w:r>
              <w:rPr>
                <w:color w:val="auto"/>
              </w:rPr>
              <w:t>8</w:t>
            </w:r>
          </w:p>
        </w:tc>
        <w:tc>
          <w:tcPr>
            <w:tcW w:w="1134" w:type="dxa"/>
            <w:vAlign w:val="center"/>
          </w:tcPr>
          <w:p>
            <w:pPr>
              <w:pStyle w:val="13"/>
              <w:rPr>
                <w:color w:val="auto"/>
              </w:rPr>
            </w:pPr>
            <w:r>
              <w:rPr>
                <w:color w:val="auto"/>
              </w:rPr>
              <w:t>9</w:t>
            </w:r>
          </w:p>
        </w:tc>
        <w:tc>
          <w:tcPr>
            <w:tcW w:w="1134" w:type="dxa"/>
            <w:vAlign w:val="center"/>
          </w:tcPr>
          <w:p>
            <w:pPr>
              <w:pStyle w:val="13"/>
              <w:rPr>
                <w:color w:val="auto"/>
              </w:rPr>
            </w:pPr>
            <w:r>
              <w:rPr>
                <w:color w:val="auto"/>
              </w:rPr>
              <w:t>10</w:t>
            </w:r>
          </w:p>
        </w:tc>
        <w:tc>
          <w:tcPr>
            <w:tcW w:w="1134" w:type="dxa"/>
            <w:vAlign w:val="center"/>
          </w:tcPr>
          <w:p>
            <w:pPr>
              <w:pStyle w:val="13"/>
              <w:rPr>
                <w:color w:val="auto"/>
              </w:rPr>
            </w:pPr>
            <w:r>
              <w:rPr>
                <w:color w:val="auto"/>
              </w:rPr>
              <w:t>11</w:t>
            </w:r>
          </w:p>
        </w:tc>
        <w:tc>
          <w:tcPr>
            <w:tcW w:w="1134" w:type="dxa"/>
            <w:vAlign w:val="center"/>
          </w:tcPr>
          <w:p>
            <w:pPr>
              <w:pStyle w:val="13"/>
              <w:rPr>
                <w:color w:val="auto"/>
              </w:rPr>
            </w:pPr>
            <w:r>
              <w:rPr>
                <w:color w:val="auto"/>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w:t>
            </w:r>
          </w:p>
        </w:tc>
        <w:tc>
          <w:tcPr>
            <w:tcW w:w="992" w:type="dxa"/>
            <w:vAlign w:val="center"/>
          </w:tcPr>
          <w:p>
            <w:pPr>
              <w:pStyle w:val="19"/>
              <w:rPr>
                <w:rFonts w:ascii="方正书宋_GBK" w:hAnsi="方正书宋_GBK" w:eastAsia="方正书宋_GBK" w:cs="方正书宋_GBK"/>
                <w:b/>
                <w:color w:val="auto"/>
                <w:sz w:val="21"/>
                <w:szCs w:val="24"/>
                <w:lang w:val="en-US" w:eastAsia="uk-UA" w:bidi="ar-SA"/>
              </w:rPr>
            </w:pPr>
          </w:p>
        </w:tc>
        <w:tc>
          <w:tcPr>
            <w:tcW w:w="1508" w:type="dxa"/>
            <w:vAlign w:val="center"/>
          </w:tcPr>
          <w:p>
            <w:pPr>
              <w:pStyle w:val="17"/>
              <w:rPr>
                <w:rFonts w:ascii="方正书宋_GBK" w:hAnsi="方正书宋_GBK" w:eastAsia="方正书宋_GBK" w:cs="方正书宋_GBK"/>
                <w:b/>
                <w:color w:val="auto"/>
                <w:sz w:val="21"/>
                <w:szCs w:val="24"/>
                <w:lang w:val="en-US" w:eastAsia="uk-UA" w:bidi="ar-SA"/>
              </w:rPr>
            </w:pPr>
            <w:r>
              <w:rPr>
                <w:color w:val="auto"/>
              </w:rPr>
              <w:t>合计</w:t>
            </w:r>
          </w:p>
        </w:tc>
        <w:tc>
          <w:tcPr>
            <w:tcW w:w="1185" w:type="dxa"/>
            <w:vAlign w:val="center"/>
          </w:tcPr>
          <w:p>
            <w:pPr>
              <w:pStyle w:val="18"/>
              <w:jc w:val="both"/>
              <w:rPr>
                <w:rFonts w:ascii="方正书宋_GBK" w:hAnsi="方正书宋_GBK" w:eastAsia="方正书宋_GBK" w:cs="方正书宋_GBK"/>
                <w:b/>
                <w:color w:val="auto"/>
                <w:sz w:val="21"/>
                <w:szCs w:val="24"/>
                <w:lang w:val="en-US" w:eastAsia="uk-UA" w:bidi="ar-SA"/>
              </w:rPr>
            </w:pPr>
            <w:r>
              <w:rPr>
                <w:color w:val="auto"/>
              </w:rPr>
              <w:t>13336.</w:t>
            </w:r>
            <w:r>
              <w:rPr>
                <w:rFonts w:hint="eastAsia"/>
                <w:color w:val="auto"/>
                <w:lang w:val="en-US" w:eastAsia="zh-CN"/>
              </w:rPr>
              <w:t>1</w:t>
            </w:r>
            <w:r>
              <w:rPr>
                <w:color w:val="auto"/>
              </w:rPr>
              <w:t>2</w:t>
            </w: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6713.42</w:t>
            </w: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6713.42</w:t>
            </w: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p>
        </w:tc>
        <w:tc>
          <w:tcPr>
            <w:tcW w:w="1134"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6622.70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社会保障和就业支出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3</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行政事业单位养老支出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4</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2080502</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事业单位离退休</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5</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2080505</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机关事业单位基本养老保险缴费支出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6</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2080506</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机关事业单位职业年金缴费支出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c>
          <w:tcPr>
            <w:tcW w:w="113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7</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城乡社区支出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8</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21203</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城乡社区公共设施</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9</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2120303</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小城镇基础设施建设</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10</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农林水支出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11</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w:t>
            </w:r>
          </w:p>
        </w:tc>
        <w:tc>
          <w:tcPr>
            <w:tcW w:w="1508" w:type="dxa"/>
            <w:vAlign w:val="center"/>
          </w:tcPr>
          <w:p>
            <w:pPr>
              <w:pStyle w:val="15"/>
              <w:rPr>
                <w:rFonts w:hint="eastAsia" w:ascii="方正书宋_GBK" w:hAnsi="方正书宋_GBK" w:eastAsia="方正书宋_GBK" w:cs="方正书宋_GBK"/>
                <w:color w:val="auto"/>
                <w:sz w:val="21"/>
                <w:szCs w:val="24"/>
                <w:lang w:val="en-US" w:eastAsia="zh-CN" w:bidi="ar-SA"/>
              </w:rPr>
            </w:pPr>
            <w:r>
              <w:rPr>
                <w:color w:val="auto"/>
              </w:rPr>
              <w:t>巩固</w:t>
            </w:r>
            <w:r>
              <w:rPr>
                <w:rFonts w:hint="eastAsia"/>
                <w:color w:val="auto"/>
              </w:rPr>
              <w:t>拓展</w:t>
            </w:r>
            <w:r>
              <w:rPr>
                <w:color w:val="auto"/>
              </w:rPr>
              <w:t>脱贫攻坚成果衔接乡村振兴</w:t>
            </w:r>
            <w:r>
              <w:rPr>
                <w:rFonts w:hint="eastAsia"/>
                <w:color w:val="auto"/>
                <w:lang w:val="en-US" w:eastAsia="zh-CN"/>
              </w:rPr>
              <w:t>1</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12</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2130504</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农村基础设施建设</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718.81</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718.81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13</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2130599</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其他巩固</w:t>
            </w:r>
            <w:r>
              <w:rPr>
                <w:rFonts w:hint="eastAsia"/>
                <w:color w:val="auto"/>
              </w:rPr>
              <w:t>拓展</w:t>
            </w:r>
            <w:r>
              <w:rPr>
                <w:color w:val="auto"/>
              </w:rPr>
              <w:t>脱贫攻坚成果衔接乡村振兴支出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463.31</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463.31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14</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交通运输支出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7924.74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5570.03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5570.03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2354.71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15</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公路水路运输</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7694.74</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5340.03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5340.03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2354.71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16</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2140101</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行政运行</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3859.68</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3859.68</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3859.68</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17</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2140102</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一般行政管理事务</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18</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2140104</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公路建设</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2807.71</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551.00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551.00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2256.71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19</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2140106</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公路养护</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693.00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595.00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595.00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20</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2140112</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公路运输管理</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21</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21406</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车辆购置税支出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22</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2140602</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车辆购置税用于农村公路建设支出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23</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住房保障支出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24</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22102</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住房改革支出</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25</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2210201</w:t>
            </w:r>
          </w:p>
        </w:tc>
        <w:tc>
          <w:tcPr>
            <w:tcW w:w="1508"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住房公积金</w:t>
            </w:r>
          </w:p>
        </w:tc>
        <w:tc>
          <w:tcPr>
            <w:tcW w:w="1185"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c>
          <w:tcPr>
            <w:tcW w:w="1134" w:type="dxa"/>
            <w:vAlign w:val="center"/>
          </w:tcPr>
          <w:p>
            <w:pPr>
              <w:pStyle w:val="14"/>
              <w:rPr>
                <w:rFonts w:ascii="方正书宋_GBK" w:hAnsi="方正书宋_GBK" w:eastAsia="方正书宋_GBK" w:cs="方正书宋_GBK"/>
                <w:color w:val="auto"/>
                <w:sz w:val="21"/>
                <w:szCs w:val="24"/>
                <w:lang w:val="en-US" w:eastAsia="uk-UA" w:bidi="ar-SA"/>
              </w:rPr>
            </w:pPr>
          </w:p>
        </w:tc>
      </w:tr>
    </w:tbl>
    <w:p>
      <w:pPr>
        <w:rPr>
          <w:color w:val="auto"/>
        </w:rPr>
        <w:sectPr>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722" w:type="dxa"/>
            <w:gridSpan w:val="2"/>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444" w:type="dxa"/>
            <w:gridSpan w:val="4"/>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5528" w:type="dxa"/>
            <w:gridSpan w:val="2"/>
            <w:vAlign w:val="center"/>
          </w:tcPr>
          <w:p>
            <w:pPr>
              <w:pStyle w:val="13"/>
              <w:rPr>
                <w:color w:val="auto"/>
              </w:rPr>
            </w:pPr>
            <w:r>
              <w:rPr>
                <w:color w:val="auto"/>
              </w:rPr>
              <w:t>功能分类科目</w:t>
            </w:r>
          </w:p>
        </w:tc>
        <w:tc>
          <w:tcPr>
            <w:tcW w:w="1361" w:type="dxa"/>
            <w:vMerge w:val="restart"/>
            <w:vAlign w:val="center"/>
          </w:tcPr>
          <w:p>
            <w:pPr>
              <w:pStyle w:val="13"/>
              <w:rPr>
                <w:color w:val="auto"/>
              </w:rPr>
            </w:pPr>
            <w:r>
              <w:rPr>
                <w:color w:val="auto"/>
              </w:rPr>
              <w:t>合计</w:t>
            </w:r>
          </w:p>
        </w:tc>
        <w:tc>
          <w:tcPr>
            <w:tcW w:w="1361" w:type="dxa"/>
            <w:vMerge w:val="restart"/>
            <w:vAlign w:val="center"/>
          </w:tcPr>
          <w:p>
            <w:pPr>
              <w:pStyle w:val="13"/>
              <w:rPr>
                <w:color w:val="auto"/>
              </w:rPr>
            </w:pPr>
            <w:r>
              <w:rPr>
                <w:color w:val="auto"/>
              </w:rPr>
              <w:t>基本支出</w:t>
            </w:r>
          </w:p>
        </w:tc>
        <w:tc>
          <w:tcPr>
            <w:tcW w:w="1361" w:type="dxa"/>
            <w:vMerge w:val="restart"/>
            <w:vAlign w:val="center"/>
          </w:tcPr>
          <w:p>
            <w:pPr>
              <w:pStyle w:val="13"/>
              <w:rPr>
                <w:color w:val="auto"/>
              </w:rPr>
            </w:pPr>
            <w:r>
              <w:rPr>
                <w:color w:val="auto"/>
              </w:rPr>
              <w:t>项目支出</w:t>
            </w:r>
          </w:p>
        </w:tc>
        <w:tc>
          <w:tcPr>
            <w:tcW w:w="1361" w:type="dxa"/>
            <w:vMerge w:val="restart"/>
            <w:vAlign w:val="center"/>
          </w:tcPr>
          <w:p>
            <w:pPr>
              <w:pStyle w:val="13"/>
              <w:rPr>
                <w:color w:val="auto"/>
              </w:rPr>
            </w:pPr>
            <w:r>
              <w:rPr>
                <w:color w:val="auto"/>
              </w:rPr>
              <w:t>经营支出</w:t>
            </w:r>
          </w:p>
        </w:tc>
        <w:tc>
          <w:tcPr>
            <w:tcW w:w="1361" w:type="dxa"/>
            <w:vMerge w:val="restart"/>
            <w:vAlign w:val="center"/>
          </w:tcPr>
          <w:p>
            <w:pPr>
              <w:pStyle w:val="13"/>
              <w:rPr>
                <w:color w:val="auto"/>
              </w:rPr>
            </w:pPr>
            <w:r>
              <w:rPr>
                <w:color w:val="auto"/>
              </w:rPr>
              <w:t>上解上级     支出</w:t>
            </w:r>
          </w:p>
        </w:tc>
        <w:tc>
          <w:tcPr>
            <w:tcW w:w="1361" w:type="dxa"/>
            <w:vMerge w:val="restart"/>
            <w:vAlign w:val="center"/>
          </w:tcPr>
          <w:p>
            <w:pPr>
              <w:pStyle w:val="13"/>
              <w:rPr>
                <w:color w:val="auto"/>
              </w:rPr>
            </w:pPr>
            <w:r>
              <w:rPr>
                <w:color w:val="auto"/>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992" w:type="dxa"/>
            <w:vAlign w:val="center"/>
          </w:tcPr>
          <w:p>
            <w:pPr>
              <w:pStyle w:val="13"/>
              <w:rPr>
                <w:color w:val="auto"/>
              </w:rPr>
            </w:pPr>
            <w:r>
              <w:rPr>
                <w:color w:val="auto"/>
              </w:rPr>
              <w:t>科目    编码</w:t>
            </w:r>
          </w:p>
        </w:tc>
        <w:tc>
          <w:tcPr>
            <w:tcW w:w="4536" w:type="dxa"/>
            <w:vAlign w:val="center"/>
          </w:tcPr>
          <w:p>
            <w:pPr>
              <w:pStyle w:val="13"/>
              <w:rPr>
                <w:color w:val="auto"/>
              </w:rPr>
            </w:pPr>
            <w:r>
              <w:rPr>
                <w:color w:val="auto"/>
              </w:rPr>
              <w:t>科目名称</w:t>
            </w:r>
          </w:p>
        </w:tc>
        <w:tc>
          <w:tcPr>
            <w:tcW w:w="1361" w:type="dxa"/>
            <w:vMerge w:val="continue"/>
          </w:tcPr>
          <w:p>
            <w:pPr>
              <w:rPr>
                <w:color w:val="auto"/>
              </w:rPr>
            </w:pPr>
          </w:p>
        </w:tc>
        <w:tc>
          <w:tcPr>
            <w:tcW w:w="1361" w:type="dxa"/>
            <w:vMerge w:val="continue"/>
          </w:tcPr>
          <w:p>
            <w:pPr>
              <w:rPr>
                <w:color w:val="auto"/>
              </w:rPr>
            </w:pPr>
          </w:p>
        </w:tc>
        <w:tc>
          <w:tcPr>
            <w:tcW w:w="1361" w:type="dxa"/>
            <w:vMerge w:val="continue"/>
          </w:tcPr>
          <w:p>
            <w:pPr>
              <w:rPr>
                <w:color w:val="auto"/>
              </w:rPr>
            </w:pPr>
          </w:p>
        </w:tc>
        <w:tc>
          <w:tcPr>
            <w:tcW w:w="1361" w:type="dxa"/>
            <w:vMerge w:val="continue"/>
          </w:tcPr>
          <w:p>
            <w:pPr>
              <w:rPr>
                <w:color w:val="auto"/>
              </w:rPr>
            </w:pPr>
          </w:p>
        </w:tc>
        <w:tc>
          <w:tcPr>
            <w:tcW w:w="1361" w:type="dxa"/>
            <w:vMerge w:val="continue"/>
          </w:tcPr>
          <w:p>
            <w:pPr>
              <w:rPr>
                <w:color w:val="auto"/>
              </w:rPr>
            </w:pPr>
          </w:p>
        </w:tc>
        <w:tc>
          <w:tcPr>
            <w:tcW w:w="1361" w:type="dxa"/>
            <w:vMerge w:val="continue"/>
          </w:tcPr>
          <w:p>
            <w:pP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992" w:type="dxa"/>
            <w:vAlign w:val="center"/>
          </w:tcPr>
          <w:p>
            <w:pPr>
              <w:pStyle w:val="13"/>
              <w:rPr>
                <w:color w:val="auto"/>
              </w:rPr>
            </w:pPr>
            <w:r>
              <w:rPr>
                <w:color w:val="auto"/>
              </w:rPr>
              <w:t>1</w:t>
            </w:r>
          </w:p>
        </w:tc>
        <w:tc>
          <w:tcPr>
            <w:tcW w:w="4536" w:type="dxa"/>
            <w:vAlign w:val="center"/>
          </w:tcPr>
          <w:p>
            <w:pPr>
              <w:pStyle w:val="13"/>
              <w:rPr>
                <w:color w:val="auto"/>
              </w:rPr>
            </w:pPr>
            <w:r>
              <w:rPr>
                <w:color w:val="auto"/>
              </w:rPr>
              <w:t>2</w:t>
            </w:r>
          </w:p>
        </w:tc>
        <w:tc>
          <w:tcPr>
            <w:tcW w:w="1361" w:type="dxa"/>
            <w:vAlign w:val="center"/>
          </w:tcPr>
          <w:p>
            <w:pPr>
              <w:pStyle w:val="13"/>
              <w:rPr>
                <w:color w:val="auto"/>
              </w:rPr>
            </w:pPr>
            <w:r>
              <w:rPr>
                <w:color w:val="auto"/>
              </w:rPr>
              <w:t>3</w:t>
            </w:r>
          </w:p>
        </w:tc>
        <w:tc>
          <w:tcPr>
            <w:tcW w:w="1361" w:type="dxa"/>
            <w:vAlign w:val="center"/>
          </w:tcPr>
          <w:p>
            <w:pPr>
              <w:pStyle w:val="13"/>
              <w:rPr>
                <w:color w:val="auto"/>
              </w:rPr>
            </w:pPr>
            <w:r>
              <w:rPr>
                <w:color w:val="auto"/>
              </w:rPr>
              <w:t>4</w:t>
            </w:r>
          </w:p>
        </w:tc>
        <w:tc>
          <w:tcPr>
            <w:tcW w:w="1361" w:type="dxa"/>
            <w:vAlign w:val="center"/>
          </w:tcPr>
          <w:p>
            <w:pPr>
              <w:pStyle w:val="13"/>
              <w:rPr>
                <w:color w:val="auto"/>
              </w:rPr>
            </w:pPr>
            <w:r>
              <w:rPr>
                <w:color w:val="auto"/>
              </w:rPr>
              <w:t>5</w:t>
            </w:r>
          </w:p>
        </w:tc>
        <w:tc>
          <w:tcPr>
            <w:tcW w:w="1361" w:type="dxa"/>
            <w:vAlign w:val="center"/>
          </w:tcPr>
          <w:p>
            <w:pPr>
              <w:pStyle w:val="13"/>
              <w:rPr>
                <w:color w:val="auto"/>
              </w:rPr>
            </w:pPr>
            <w:r>
              <w:rPr>
                <w:color w:val="auto"/>
              </w:rPr>
              <w:t>6</w:t>
            </w:r>
          </w:p>
        </w:tc>
        <w:tc>
          <w:tcPr>
            <w:tcW w:w="1361" w:type="dxa"/>
            <w:vAlign w:val="center"/>
          </w:tcPr>
          <w:p>
            <w:pPr>
              <w:pStyle w:val="13"/>
              <w:rPr>
                <w:color w:val="auto"/>
              </w:rPr>
            </w:pPr>
            <w:r>
              <w:rPr>
                <w:color w:val="auto"/>
              </w:rPr>
              <w:t>7</w:t>
            </w:r>
          </w:p>
        </w:tc>
        <w:tc>
          <w:tcPr>
            <w:tcW w:w="1361" w:type="dxa"/>
            <w:vAlign w:val="center"/>
          </w:tcPr>
          <w:p>
            <w:pPr>
              <w:pStyle w:val="13"/>
              <w:rPr>
                <w:color w:val="auto"/>
              </w:rPr>
            </w:pPr>
            <w:r>
              <w:rPr>
                <w:color w:val="auto"/>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w:t>
            </w:r>
          </w:p>
        </w:tc>
        <w:tc>
          <w:tcPr>
            <w:tcW w:w="992" w:type="dxa"/>
            <w:vAlign w:val="center"/>
          </w:tcPr>
          <w:p>
            <w:pPr>
              <w:pStyle w:val="19"/>
              <w:rPr>
                <w:rFonts w:ascii="方正书宋_GBK" w:hAnsi="方正书宋_GBK" w:eastAsia="方正书宋_GBK" w:cs="方正书宋_GBK"/>
                <w:b/>
                <w:color w:val="auto"/>
                <w:sz w:val="21"/>
                <w:szCs w:val="24"/>
                <w:lang w:val="en-US" w:eastAsia="uk-UA" w:bidi="ar-SA"/>
              </w:rPr>
            </w:pPr>
          </w:p>
        </w:tc>
        <w:tc>
          <w:tcPr>
            <w:tcW w:w="4536" w:type="dxa"/>
            <w:vAlign w:val="center"/>
          </w:tcPr>
          <w:p>
            <w:pPr>
              <w:pStyle w:val="17"/>
              <w:rPr>
                <w:rFonts w:ascii="方正书宋_GBK" w:hAnsi="方正书宋_GBK" w:eastAsia="方正书宋_GBK" w:cs="方正书宋_GBK"/>
                <w:b/>
                <w:color w:val="auto"/>
                <w:sz w:val="21"/>
                <w:szCs w:val="24"/>
                <w:lang w:val="en-US" w:eastAsia="uk-UA" w:bidi="ar-SA"/>
              </w:rPr>
            </w:pPr>
            <w:r>
              <w:rPr>
                <w:color w:val="auto"/>
              </w:rPr>
              <w:t>合计</w:t>
            </w:r>
          </w:p>
        </w:tc>
        <w:tc>
          <w:tcPr>
            <w:tcW w:w="136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13336.12</w:t>
            </w:r>
          </w:p>
        </w:tc>
        <w:tc>
          <w:tcPr>
            <w:tcW w:w="136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4318.79</w:t>
            </w:r>
          </w:p>
        </w:tc>
        <w:tc>
          <w:tcPr>
            <w:tcW w:w="136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9017.33</w:t>
            </w:r>
          </w:p>
        </w:tc>
        <w:tc>
          <w:tcPr>
            <w:tcW w:w="1361" w:type="dxa"/>
            <w:vAlign w:val="center"/>
          </w:tcPr>
          <w:p>
            <w:pPr>
              <w:pStyle w:val="18"/>
              <w:rPr>
                <w:color w:val="auto"/>
              </w:rPr>
            </w:pPr>
          </w:p>
        </w:tc>
        <w:tc>
          <w:tcPr>
            <w:tcW w:w="1361" w:type="dxa"/>
            <w:vAlign w:val="center"/>
          </w:tcPr>
          <w:p>
            <w:pPr>
              <w:pStyle w:val="18"/>
              <w:rPr>
                <w:color w:val="auto"/>
              </w:rPr>
            </w:pPr>
          </w:p>
        </w:tc>
        <w:tc>
          <w:tcPr>
            <w:tcW w:w="1361" w:type="dxa"/>
            <w:vAlign w:val="center"/>
          </w:tcPr>
          <w:p>
            <w:pPr>
              <w:pStyle w:val="18"/>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社会保障和就业支出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3</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行政事业单位养老支出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4</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2080502</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事业单位离退休</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5</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2080505</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机关事业单位基本养老保险缴费支出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6</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2080506</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机关事业单位职业年金缴费支出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7</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城乡社区支出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8</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21203</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城乡社区公共设施</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9</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2120303</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小城镇基础设施建设</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10</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农林水支出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11</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巩固</w:t>
            </w:r>
            <w:r>
              <w:rPr>
                <w:rFonts w:hint="eastAsia"/>
                <w:color w:val="auto"/>
              </w:rPr>
              <w:t>拓展</w:t>
            </w:r>
            <w:r>
              <w:rPr>
                <w:color w:val="auto"/>
              </w:rPr>
              <w:t>脱贫攻坚成果衔接乡村振兴</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12</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2130504</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农村基础设施建设</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718.81</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718.81</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13</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2130599</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其他巩固</w:t>
            </w:r>
            <w:r>
              <w:rPr>
                <w:rFonts w:hint="eastAsia"/>
                <w:color w:val="auto"/>
                <w:lang w:eastAsia="zh-CN"/>
              </w:rPr>
              <w:t>拓展</w:t>
            </w:r>
            <w:r>
              <w:rPr>
                <w:color w:val="auto"/>
              </w:rPr>
              <w:t>脱贫攻坚成果衔接乡村振兴支出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463.31</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463.31</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14</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交通运输支出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7924.74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3175.40</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4749.34</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15</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公路水路运输</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7694.74</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3175.40</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4519.34</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16</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2140101</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行政运行</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3859.68</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2897.68</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962.00</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17</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2140102</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一般行政管理事务</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18</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2140104</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公路建设</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2807.71</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2807.71</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19</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2140106</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公路养护</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693.00</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693.00</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20</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2140112</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公路运输管理</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21</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21406</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车辆购置税支出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22</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2140602</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车辆购置税用于农村公路建设支出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23</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住房保障支出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24</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22102</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住房改革支出</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25</w:t>
            </w:r>
          </w:p>
        </w:tc>
        <w:tc>
          <w:tcPr>
            <w:tcW w:w="992"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2210201</w:t>
            </w:r>
          </w:p>
        </w:tc>
        <w:tc>
          <w:tcPr>
            <w:tcW w:w="453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住房公积金</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1361" w:type="dxa"/>
            <w:vAlign w:val="center"/>
          </w:tcPr>
          <w:p>
            <w:pPr>
              <w:pStyle w:val="14"/>
              <w:rPr>
                <w:rFonts w:ascii="方正书宋_GBK" w:hAnsi="方正书宋_GBK" w:eastAsia="方正书宋_GBK" w:cs="方正书宋_GBK"/>
                <w:color w:val="auto"/>
                <w:sz w:val="21"/>
                <w:szCs w:val="24"/>
                <w:lang w:val="en-US" w:eastAsia="uk-UA" w:bidi="ar-SA"/>
              </w:rPr>
            </w:pPr>
          </w:p>
        </w:tc>
        <w:tc>
          <w:tcPr>
            <w:tcW w:w="1361" w:type="dxa"/>
            <w:vAlign w:val="center"/>
          </w:tcPr>
          <w:p>
            <w:pPr>
              <w:pStyle w:val="14"/>
              <w:rPr>
                <w:color w:val="auto"/>
              </w:rPr>
            </w:pPr>
          </w:p>
        </w:tc>
        <w:tc>
          <w:tcPr>
            <w:tcW w:w="1361" w:type="dxa"/>
            <w:vAlign w:val="center"/>
          </w:tcPr>
          <w:p>
            <w:pPr>
              <w:pStyle w:val="14"/>
              <w:rPr>
                <w:color w:val="auto"/>
              </w:rPr>
            </w:pPr>
          </w:p>
        </w:tc>
        <w:tc>
          <w:tcPr>
            <w:tcW w:w="1361" w:type="dxa"/>
            <w:vAlign w:val="center"/>
          </w:tcPr>
          <w:p>
            <w:pPr>
              <w:pStyle w:val="14"/>
              <w:rPr>
                <w:color w:val="auto"/>
              </w:rPr>
            </w:pPr>
          </w:p>
        </w:tc>
      </w:tr>
    </w:tbl>
    <w:p>
      <w:pPr>
        <w:rPr>
          <w:color w:val="auto"/>
        </w:rPr>
        <w:sectPr>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3402"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896" w:type="dxa"/>
            <w:gridSpan w:val="4"/>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4876" w:type="dxa"/>
            <w:gridSpan w:val="2"/>
            <w:vAlign w:val="center"/>
          </w:tcPr>
          <w:p>
            <w:pPr>
              <w:pStyle w:val="13"/>
              <w:rPr>
                <w:color w:val="auto"/>
              </w:rPr>
            </w:pPr>
            <w:r>
              <w:rPr>
                <w:color w:val="auto"/>
              </w:rPr>
              <w:t>收入</w:t>
            </w:r>
          </w:p>
        </w:tc>
        <w:tc>
          <w:tcPr>
            <w:tcW w:w="9298" w:type="dxa"/>
            <w:gridSpan w:val="5"/>
            <w:vAlign w:val="center"/>
          </w:tcPr>
          <w:p>
            <w:pPr>
              <w:pStyle w:val="13"/>
              <w:rPr>
                <w:color w:val="auto"/>
              </w:rPr>
            </w:pPr>
            <w:r>
              <w:rPr>
                <w:color w:val="auto"/>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3402" w:type="dxa"/>
            <w:vAlign w:val="center"/>
          </w:tcPr>
          <w:p>
            <w:pPr>
              <w:pStyle w:val="13"/>
              <w:rPr>
                <w:color w:val="auto"/>
              </w:rPr>
            </w:pPr>
            <w:r>
              <w:rPr>
                <w:color w:val="auto"/>
              </w:rPr>
              <w:t>项  目</w:t>
            </w:r>
          </w:p>
        </w:tc>
        <w:tc>
          <w:tcPr>
            <w:tcW w:w="1474" w:type="dxa"/>
            <w:vAlign w:val="center"/>
          </w:tcPr>
          <w:p>
            <w:pPr>
              <w:pStyle w:val="13"/>
              <w:rPr>
                <w:color w:val="auto"/>
              </w:rPr>
            </w:pPr>
            <w:r>
              <w:rPr>
                <w:color w:val="auto"/>
              </w:rPr>
              <w:t>金额</w:t>
            </w:r>
          </w:p>
        </w:tc>
        <w:tc>
          <w:tcPr>
            <w:tcW w:w="3402" w:type="dxa"/>
            <w:vAlign w:val="center"/>
          </w:tcPr>
          <w:p>
            <w:pPr>
              <w:pStyle w:val="13"/>
              <w:rPr>
                <w:color w:val="auto"/>
              </w:rPr>
            </w:pPr>
            <w:r>
              <w:rPr>
                <w:color w:val="auto"/>
              </w:rPr>
              <w:t>项  目</w:t>
            </w:r>
          </w:p>
        </w:tc>
        <w:tc>
          <w:tcPr>
            <w:tcW w:w="1474" w:type="dxa"/>
            <w:vAlign w:val="center"/>
          </w:tcPr>
          <w:p>
            <w:pPr>
              <w:pStyle w:val="13"/>
              <w:rPr>
                <w:color w:val="auto"/>
              </w:rPr>
            </w:pPr>
            <w:r>
              <w:rPr>
                <w:color w:val="auto"/>
              </w:rPr>
              <w:t>合计</w:t>
            </w:r>
          </w:p>
        </w:tc>
        <w:tc>
          <w:tcPr>
            <w:tcW w:w="1474" w:type="dxa"/>
            <w:vAlign w:val="center"/>
          </w:tcPr>
          <w:p>
            <w:pPr>
              <w:pStyle w:val="13"/>
              <w:rPr>
                <w:color w:val="auto"/>
              </w:rPr>
            </w:pPr>
            <w:r>
              <w:rPr>
                <w:color w:val="auto"/>
              </w:rPr>
              <w:t>一般公共预算财政拨款</w:t>
            </w:r>
          </w:p>
        </w:tc>
        <w:tc>
          <w:tcPr>
            <w:tcW w:w="1474" w:type="dxa"/>
            <w:vAlign w:val="center"/>
          </w:tcPr>
          <w:p>
            <w:pPr>
              <w:pStyle w:val="13"/>
              <w:rPr>
                <w:color w:val="auto"/>
              </w:rPr>
            </w:pPr>
            <w:r>
              <w:rPr>
                <w:color w:val="auto"/>
              </w:rPr>
              <w:t>政府性基金预算财政    拨款</w:t>
            </w:r>
          </w:p>
        </w:tc>
        <w:tc>
          <w:tcPr>
            <w:tcW w:w="1474" w:type="dxa"/>
            <w:vAlign w:val="center"/>
          </w:tcPr>
          <w:p>
            <w:pPr>
              <w:pStyle w:val="13"/>
              <w:rPr>
                <w:color w:val="auto"/>
              </w:rPr>
            </w:pPr>
            <w:r>
              <w:rPr>
                <w:color w:val="auto"/>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3402" w:type="dxa"/>
            <w:vAlign w:val="center"/>
          </w:tcPr>
          <w:p>
            <w:pPr>
              <w:pStyle w:val="13"/>
              <w:rPr>
                <w:color w:val="auto"/>
              </w:rPr>
            </w:pPr>
            <w:r>
              <w:rPr>
                <w:color w:val="auto"/>
              </w:rPr>
              <w:t>1</w:t>
            </w:r>
          </w:p>
        </w:tc>
        <w:tc>
          <w:tcPr>
            <w:tcW w:w="1474" w:type="dxa"/>
            <w:vAlign w:val="center"/>
          </w:tcPr>
          <w:p>
            <w:pPr>
              <w:pStyle w:val="13"/>
              <w:rPr>
                <w:color w:val="auto"/>
              </w:rPr>
            </w:pPr>
            <w:r>
              <w:rPr>
                <w:color w:val="auto"/>
              </w:rPr>
              <w:t>2</w:t>
            </w:r>
          </w:p>
        </w:tc>
        <w:tc>
          <w:tcPr>
            <w:tcW w:w="3402" w:type="dxa"/>
            <w:vAlign w:val="center"/>
          </w:tcPr>
          <w:p>
            <w:pPr>
              <w:pStyle w:val="13"/>
              <w:rPr>
                <w:color w:val="auto"/>
              </w:rPr>
            </w:pPr>
            <w:r>
              <w:rPr>
                <w:color w:val="auto"/>
              </w:rPr>
              <w:t>3</w:t>
            </w:r>
          </w:p>
        </w:tc>
        <w:tc>
          <w:tcPr>
            <w:tcW w:w="1474" w:type="dxa"/>
            <w:vAlign w:val="center"/>
          </w:tcPr>
          <w:p>
            <w:pPr>
              <w:pStyle w:val="13"/>
              <w:rPr>
                <w:color w:val="auto"/>
              </w:rPr>
            </w:pPr>
            <w:r>
              <w:rPr>
                <w:color w:val="auto"/>
              </w:rPr>
              <w:t>4</w:t>
            </w:r>
          </w:p>
        </w:tc>
        <w:tc>
          <w:tcPr>
            <w:tcW w:w="1474" w:type="dxa"/>
            <w:vAlign w:val="center"/>
          </w:tcPr>
          <w:p>
            <w:pPr>
              <w:pStyle w:val="13"/>
              <w:rPr>
                <w:color w:val="auto"/>
              </w:rPr>
            </w:pPr>
            <w:r>
              <w:rPr>
                <w:color w:val="auto"/>
              </w:rPr>
              <w:t>5</w:t>
            </w:r>
          </w:p>
        </w:tc>
        <w:tc>
          <w:tcPr>
            <w:tcW w:w="1474" w:type="dxa"/>
            <w:vAlign w:val="center"/>
          </w:tcPr>
          <w:p>
            <w:pPr>
              <w:pStyle w:val="13"/>
              <w:rPr>
                <w:color w:val="auto"/>
              </w:rPr>
            </w:pPr>
            <w:r>
              <w:rPr>
                <w:color w:val="auto"/>
              </w:rPr>
              <w:t>6</w:t>
            </w:r>
          </w:p>
        </w:tc>
        <w:tc>
          <w:tcPr>
            <w:tcW w:w="1474" w:type="dxa"/>
            <w:vAlign w:val="center"/>
          </w:tcPr>
          <w:p>
            <w:pPr>
              <w:pStyle w:val="13"/>
              <w:rPr>
                <w:color w:val="auto"/>
              </w:rPr>
            </w:pPr>
            <w:r>
              <w:rPr>
                <w:color w:val="auto"/>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w:t>
            </w:r>
          </w:p>
        </w:tc>
        <w:tc>
          <w:tcPr>
            <w:tcW w:w="3402" w:type="dxa"/>
            <w:vAlign w:val="center"/>
          </w:tcPr>
          <w:p>
            <w:pPr>
              <w:pStyle w:val="15"/>
              <w:rPr>
                <w:color w:val="auto"/>
              </w:rPr>
            </w:pPr>
            <w:r>
              <w:rPr>
                <w:color w:val="auto"/>
              </w:rPr>
              <w:t>一、一般公共预算拨款</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6713.42</w:t>
            </w:r>
          </w:p>
        </w:tc>
        <w:tc>
          <w:tcPr>
            <w:tcW w:w="3402" w:type="dxa"/>
            <w:vAlign w:val="center"/>
          </w:tcPr>
          <w:p>
            <w:pPr>
              <w:pStyle w:val="15"/>
              <w:rPr>
                <w:color w:val="auto"/>
              </w:rPr>
            </w:pPr>
            <w:r>
              <w:rPr>
                <w:color w:val="auto"/>
              </w:rPr>
              <w:t>一、一般公共服务支出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w:t>
            </w:r>
          </w:p>
        </w:tc>
        <w:tc>
          <w:tcPr>
            <w:tcW w:w="3402" w:type="dxa"/>
            <w:vAlign w:val="center"/>
          </w:tcPr>
          <w:p>
            <w:pPr>
              <w:pStyle w:val="15"/>
              <w:rPr>
                <w:color w:val="auto"/>
              </w:rPr>
            </w:pPr>
            <w:r>
              <w:rPr>
                <w:color w:val="auto"/>
              </w:rPr>
              <w:t>二、政府性基金预算拨款</w:t>
            </w:r>
          </w:p>
        </w:tc>
        <w:tc>
          <w:tcPr>
            <w:tcW w:w="1474" w:type="dxa"/>
            <w:vAlign w:val="center"/>
          </w:tcPr>
          <w:p>
            <w:pPr>
              <w:pStyle w:val="14"/>
              <w:rPr>
                <w:color w:val="auto"/>
              </w:rPr>
            </w:pPr>
          </w:p>
        </w:tc>
        <w:tc>
          <w:tcPr>
            <w:tcW w:w="3402" w:type="dxa"/>
            <w:vAlign w:val="center"/>
          </w:tcPr>
          <w:p>
            <w:pPr>
              <w:pStyle w:val="15"/>
              <w:rPr>
                <w:color w:val="auto"/>
              </w:rPr>
            </w:pPr>
            <w:r>
              <w:rPr>
                <w:color w:val="auto"/>
              </w:rPr>
              <w:t>二、外交支出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w:t>
            </w:r>
          </w:p>
        </w:tc>
        <w:tc>
          <w:tcPr>
            <w:tcW w:w="3402" w:type="dxa"/>
            <w:vAlign w:val="center"/>
          </w:tcPr>
          <w:p>
            <w:pPr>
              <w:pStyle w:val="15"/>
              <w:rPr>
                <w:color w:val="auto"/>
              </w:rPr>
            </w:pPr>
            <w:r>
              <w:rPr>
                <w:color w:val="auto"/>
              </w:rPr>
              <w:t>三、国有资本经营预算拨款</w:t>
            </w:r>
          </w:p>
        </w:tc>
        <w:tc>
          <w:tcPr>
            <w:tcW w:w="1474" w:type="dxa"/>
            <w:vAlign w:val="center"/>
          </w:tcPr>
          <w:p>
            <w:pPr>
              <w:pStyle w:val="14"/>
              <w:rPr>
                <w:color w:val="auto"/>
              </w:rPr>
            </w:pPr>
          </w:p>
        </w:tc>
        <w:tc>
          <w:tcPr>
            <w:tcW w:w="3402" w:type="dxa"/>
            <w:vAlign w:val="center"/>
          </w:tcPr>
          <w:p>
            <w:pPr>
              <w:pStyle w:val="15"/>
              <w:rPr>
                <w:color w:val="auto"/>
              </w:rPr>
            </w:pPr>
            <w:r>
              <w:rPr>
                <w:color w:val="auto"/>
              </w:rPr>
              <w:t>三、国防支出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4</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四、公共安全支出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5</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五、教育支出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6</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六、科学技术支出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7</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七、文化旅游体育与传媒支出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8</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八、社会保障和就业支出</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996.64</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996.64</w:t>
            </w: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9</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九、社会保险基金支出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10</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十、卫生健康支出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11</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十一、节能环保支出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12</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十二、城乡社区支出</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3085.86</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3085.86</w:t>
            </w: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13</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十三、农林水支出</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1182.13</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1182.13</w:t>
            </w: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14</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十四、交通运输支出</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7924.74</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7924.74</w:t>
            </w: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15</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十五、资源勘探工业信息等支出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16</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十六、商业服务业等支出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17</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十七、金融支出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18</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十八、援助其他地区支出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19</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十九、自然资源海洋气象等支出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20</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二十、住房保障支出</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146.75</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146.75</w:t>
            </w: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21</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二十一、粮油物资储备支出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22</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二十二、国有资本经营预算支出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23</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二十三、灾害防治及应急管理支出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24</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二十四、预备费</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25</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二十五、其他支出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26</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二十六、转移性支出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27</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二十七、债务还本支出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28</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二十八、债务付息支出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29</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二十九、债务发行费用支出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30</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三十、抗疫特别国债安排的支出</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31</w:t>
            </w:r>
          </w:p>
        </w:tc>
        <w:tc>
          <w:tcPr>
            <w:tcW w:w="3402" w:type="dxa"/>
            <w:vAlign w:val="center"/>
          </w:tcPr>
          <w:p>
            <w:pPr>
              <w:pStyle w:val="15"/>
              <w:rPr>
                <w:color w:val="auto"/>
              </w:rPr>
            </w:pPr>
          </w:p>
        </w:tc>
        <w:tc>
          <w:tcPr>
            <w:tcW w:w="1474" w:type="dxa"/>
            <w:vAlign w:val="center"/>
          </w:tcPr>
          <w:p>
            <w:pPr>
              <w:pStyle w:val="14"/>
              <w:rPr>
                <w:color w:val="auto"/>
              </w:rPr>
            </w:pPr>
          </w:p>
        </w:tc>
        <w:tc>
          <w:tcPr>
            <w:tcW w:w="3402" w:type="dxa"/>
            <w:vAlign w:val="center"/>
          </w:tcPr>
          <w:p>
            <w:pPr>
              <w:pStyle w:val="15"/>
              <w:rPr>
                <w:color w:val="auto"/>
              </w:rPr>
            </w:pPr>
            <w:r>
              <w:rPr>
                <w:color w:val="auto"/>
              </w:rPr>
              <w:t>三十一、人行科目</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32</w:t>
            </w:r>
          </w:p>
        </w:tc>
        <w:tc>
          <w:tcPr>
            <w:tcW w:w="3402" w:type="dxa"/>
            <w:vAlign w:val="center"/>
          </w:tcPr>
          <w:p>
            <w:pPr>
              <w:pStyle w:val="17"/>
              <w:rPr>
                <w:color w:val="auto"/>
              </w:rPr>
            </w:pPr>
            <w:r>
              <w:rPr>
                <w:color w:val="auto"/>
              </w:rPr>
              <w:t>本年收入合计</w:t>
            </w:r>
          </w:p>
        </w:tc>
        <w:tc>
          <w:tcPr>
            <w:tcW w:w="1474" w:type="dxa"/>
            <w:vAlign w:val="center"/>
          </w:tcPr>
          <w:p>
            <w:pPr>
              <w:pStyle w:val="18"/>
              <w:rPr>
                <w:rFonts w:hint="default" w:eastAsia="方正书宋_GBK"/>
                <w:color w:val="auto"/>
                <w:lang w:val="en-US" w:eastAsia="zh-CN"/>
              </w:rPr>
            </w:pPr>
            <w:r>
              <w:rPr>
                <w:rFonts w:hint="eastAsia"/>
                <w:color w:val="auto"/>
                <w:lang w:val="en-US" w:eastAsia="zh-CN"/>
              </w:rPr>
              <w:t>6713.42</w:t>
            </w:r>
          </w:p>
        </w:tc>
        <w:tc>
          <w:tcPr>
            <w:tcW w:w="3402" w:type="dxa"/>
            <w:vAlign w:val="center"/>
          </w:tcPr>
          <w:p>
            <w:pPr>
              <w:pStyle w:val="17"/>
              <w:rPr>
                <w:color w:val="auto"/>
              </w:rPr>
            </w:pPr>
            <w:r>
              <w:rPr>
                <w:color w:val="auto"/>
              </w:rPr>
              <w:t>本年支出合计</w:t>
            </w:r>
          </w:p>
        </w:tc>
        <w:tc>
          <w:tcPr>
            <w:tcW w:w="1474" w:type="dxa"/>
            <w:vAlign w:val="center"/>
          </w:tcPr>
          <w:p>
            <w:pPr>
              <w:pStyle w:val="18"/>
              <w:rPr>
                <w:rFonts w:hint="default" w:eastAsia="方正书宋_GBK"/>
                <w:color w:val="auto"/>
                <w:lang w:val="en-US" w:eastAsia="zh-CN"/>
              </w:rPr>
            </w:pPr>
            <w:r>
              <w:rPr>
                <w:rFonts w:hint="eastAsia"/>
                <w:color w:val="auto"/>
                <w:lang w:val="en-US" w:eastAsia="zh-CN"/>
              </w:rPr>
              <w:t>13336.12</w:t>
            </w:r>
          </w:p>
        </w:tc>
        <w:tc>
          <w:tcPr>
            <w:tcW w:w="1474" w:type="dxa"/>
            <w:vAlign w:val="center"/>
          </w:tcPr>
          <w:p>
            <w:pPr>
              <w:pStyle w:val="18"/>
              <w:rPr>
                <w:rFonts w:hint="default" w:eastAsia="方正书宋_GBK"/>
                <w:color w:val="auto"/>
                <w:lang w:val="en-US" w:eastAsia="zh-CN"/>
              </w:rPr>
            </w:pPr>
            <w:r>
              <w:rPr>
                <w:rFonts w:hint="eastAsia"/>
                <w:color w:val="auto"/>
                <w:lang w:val="en-US" w:eastAsia="zh-CN"/>
              </w:rPr>
              <w:t>13336.12</w:t>
            </w:r>
          </w:p>
        </w:tc>
        <w:tc>
          <w:tcPr>
            <w:tcW w:w="1474" w:type="dxa"/>
            <w:vAlign w:val="center"/>
          </w:tcPr>
          <w:p>
            <w:pPr>
              <w:pStyle w:val="18"/>
              <w:rPr>
                <w:color w:val="auto"/>
              </w:rPr>
            </w:pPr>
          </w:p>
        </w:tc>
        <w:tc>
          <w:tcPr>
            <w:tcW w:w="1474" w:type="dxa"/>
            <w:vAlign w:val="center"/>
          </w:tcPr>
          <w:p>
            <w:pPr>
              <w:pStyle w:val="18"/>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33</w:t>
            </w:r>
          </w:p>
        </w:tc>
        <w:tc>
          <w:tcPr>
            <w:tcW w:w="3402" w:type="dxa"/>
            <w:vAlign w:val="center"/>
          </w:tcPr>
          <w:p>
            <w:pPr>
              <w:pStyle w:val="15"/>
              <w:rPr>
                <w:color w:val="auto"/>
              </w:rPr>
            </w:pPr>
            <w:r>
              <w:rPr>
                <w:color w:val="auto"/>
              </w:rPr>
              <w:t>年初财政拨款结转和结余</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6622.70</w:t>
            </w:r>
          </w:p>
        </w:tc>
        <w:tc>
          <w:tcPr>
            <w:tcW w:w="3402" w:type="dxa"/>
            <w:vAlign w:val="center"/>
          </w:tcPr>
          <w:p>
            <w:pPr>
              <w:pStyle w:val="15"/>
              <w:rPr>
                <w:color w:val="auto"/>
              </w:rPr>
            </w:pPr>
            <w:r>
              <w:rPr>
                <w:color w:val="auto"/>
              </w:rPr>
              <w:t>年末财政拨款结转和结余</w:t>
            </w: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34</w:t>
            </w:r>
          </w:p>
        </w:tc>
        <w:tc>
          <w:tcPr>
            <w:tcW w:w="3402" w:type="dxa"/>
            <w:vAlign w:val="center"/>
          </w:tcPr>
          <w:p>
            <w:pPr>
              <w:pStyle w:val="15"/>
              <w:rPr>
                <w:color w:val="auto"/>
              </w:rPr>
            </w:pPr>
            <w:r>
              <w:rPr>
                <w:color w:val="auto"/>
              </w:rPr>
              <w:t>一、一般公共预算拨款</w:t>
            </w:r>
          </w:p>
        </w:tc>
        <w:tc>
          <w:tcPr>
            <w:tcW w:w="1474" w:type="dxa"/>
            <w:vAlign w:val="center"/>
          </w:tcPr>
          <w:p>
            <w:pPr>
              <w:pStyle w:val="14"/>
              <w:rPr>
                <w:rFonts w:hint="default" w:eastAsia="方正书宋_GBK"/>
                <w:color w:val="auto"/>
                <w:lang w:val="en-US" w:eastAsia="zh-CN"/>
              </w:rPr>
            </w:pPr>
            <w:r>
              <w:rPr>
                <w:rFonts w:hint="eastAsia"/>
                <w:color w:val="auto"/>
                <w:lang w:val="en-US" w:eastAsia="zh-CN"/>
              </w:rPr>
              <w:t>6622.70</w:t>
            </w:r>
          </w:p>
        </w:tc>
        <w:tc>
          <w:tcPr>
            <w:tcW w:w="3402" w:type="dxa"/>
            <w:vAlign w:val="center"/>
          </w:tcPr>
          <w:p>
            <w:pPr>
              <w:pStyle w:val="15"/>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35</w:t>
            </w:r>
          </w:p>
        </w:tc>
        <w:tc>
          <w:tcPr>
            <w:tcW w:w="3402" w:type="dxa"/>
            <w:vAlign w:val="center"/>
          </w:tcPr>
          <w:p>
            <w:pPr>
              <w:pStyle w:val="15"/>
              <w:rPr>
                <w:color w:val="auto"/>
              </w:rPr>
            </w:pPr>
            <w:r>
              <w:rPr>
                <w:color w:val="auto"/>
              </w:rPr>
              <w:t>二、政府性基金预算拨款</w:t>
            </w:r>
          </w:p>
        </w:tc>
        <w:tc>
          <w:tcPr>
            <w:tcW w:w="1474" w:type="dxa"/>
            <w:vAlign w:val="center"/>
          </w:tcPr>
          <w:p>
            <w:pPr>
              <w:pStyle w:val="14"/>
              <w:rPr>
                <w:color w:val="auto"/>
              </w:rPr>
            </w:pPr>
          </w:p>
        </w:tc>
        <w:tc>
          <w:tcPr>
            <w:tcW w:w="3402" w:type="dxa"/>
            <w:vAlign w:val="center"/>
          </w:tcPr>
          <w:p>
            <w:pPr>
              <w:pStyle w:val="15"/>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36</w:t>
            </w:r>
          </w:p>
        </w:tc>
        <w:tc>
          <w:tcPr>
            <w:tcW w:w="3402" w:type="dxa"/>
            <w:vAlign w:val="center"/>
          </w:tcPr>
          <w:p>
            <w:pPr>
              <w:pStyle w:val="15"/>
              <w:rPr>
                <w:color w:val="auto"/>
              </w:rPr>
            </w:pPr>
            <w:r>
              <w:rPr>
                <w:color w:val="auto"/>
              </w:rPr>
              <w:t>三、国有资本经营预算拨款</w:t>
            </w:r>
          </w:p>
        </w:tc>
        <w:tc>
          <w:tcPr>
            <w:tcW w:w="1474" w:type="dxa"/>
            <w:vAlign w:val="center"/>
          </w:tcPr>
          <w:p>
            <w:pPr>
              <w:pStyle w:val="14"/>
              <w:rPr>
                <w:color w:val="auto"/>
              </w:rPr>
            </w:pPr>
          </w:p>
        </w:tc>
        <w:tc>
          <w:tcPr>
            <w:tcW w:w="3402" w:type="dxa"/>
            <w:vAlign w:val="center"/>
          </w:tcPr>
          <w:p>
            <w:pPr>
              <w:pStyle w:val="15"/>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c>
          <w:tcPr>
            <w:tcW w:w="1474"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r>
              <w:rPr>
                <w:color w:val="auto"/>
              </w:rPr>
              <w:t>37</w:t>
            </w:r>
          </w:p>
        </w:tc>
        <w:tc>
          <w:tcPr>
            <w:tcW w:w="3402" w:type="dxa"/>
            <w:vAlign w:val="center"/>
          </w:tcPr>
          <w:p>
            <w:pPr>
              <w:pStyle w:val="17"/>
              <w:rPr>
                <w:color w:val="auto"/>
              </w:rPr>
            </w:pPr>
            <w:r>
              <w:rPr>
                <w:color w:val="auto"/>
              </w:rPr>
              <w:t>收入总计</w:t>
            </w:r>
          </w:p>
        </w:tc>
        <w:tc>
          <w:tcPr>
            <w:tcW w:w="1474" w:type="dxa"/>
            <w:vAlign w:val="center"/>
          </w:tcPr>
          <w:p>
            <w:pPr>
              <w:pStyle w:val="18"/>
              <w:rPr>
                <w:rFonts w:hint="default" w:eastAsia="方正书宋_GBK"/>
                <w:color w:val="auto"/>
                <w:lang w:val="en-US" w:eastAsia="zh-CN"/>
              </w:rPr>
            </w:pPr>
            <w:r>
              <w:rPr>
                <w:rFonts w:hint="eastAsia"/>
                <w:color w:val="auto"/>
                <w:lang w:val="en-US" w:eastAsia="zh-CN"/>
              </w:rPr>
              <w:t>13336.12</w:t>
            </w:r>
          </w:p>
        </w:tc>
        <w:tc>
          <w:tcPr>
            <w:tcW w:w="3402" w:type="dxa"/>
            <w:vAlign w:val="center"/>
          </w:tcPr>
          <w:p>
            <w:pPr>
              <w:pStyle w:val="17"/>
              <w:rPr>
                <w:color w:val="auto"/>
              </w:rPr>
            </w:pPr>
            <w:r>
              <w:rPr>
                <w:color w:val="auto"/>
              </w:rPr>
              <w:t>支出总计</w:t>
            </w:r>
          </w:p>
        </w:tc>
        <w:tc>
          <w:tcPr>
            <w:tcW w:w="1474" w:type="dxa"/>
            <w:vAlign w:val="center"/>
          </w:tcPr>
          <w:p>
            <w:pPr>
              <w:pStyle w:val="18"/>
              <w:rPr>
                <w:rFonts w:hint="default" w:eastAsia="方正书宋_GBK"/>
                <w:color w:val="auto"/>
                <w:lang w:val="en-US" w:eastAsia="zh-CN"/>
              </w:rPr>
            </w:pPr>
            <w:r>
              <w:rPr>
                <w:rFonts w:hint="eastAsia"/>
                <w:color w:val="auto"/>
                <w:lang w:val="en-US" w:eastAsia="zh-CN"/>
              </w:rPr>
              <w:t>13336.12</w:t>
            </w:r>
          </w:p>
        </w:tc>
        <w:tc>
          <w:tcPr>
            <w:tcW w:w="1474" w:type="dxa"/>
            <w:vAlign w:val="center"/>
          </w:tcPr>
          <w:p>
            <w:pPr>
              <w:pStyle w:val="18"/>
              <w:rPr>
                <w:rFonts w:hint="default" w:eastAsia="方正书宋_GBK"/>
                <w:color w:val="auto"/>
                <w:lang w:val="en-US" w:eastAsia="zh-CN"/>
              </w:rPr>
            </w:pPr>
            <w:r>
              <w:rPr>
                <w:rFonts w:hint="eastAsia"/>
                <w:color w:val="auto"/>
                <w:lang w:val="en-US" w:eastAsia="zh-CN"/>
              </w:rPr>
              <w:t>13336.12</w:t>
            </w:r>
          </w:p>
        </w:tc>
        <w:tc>
          <w:tcPr>
            <w:tcW w:w="1474" w:type="dxa"/>
            <w:vAlign w:val="center"/>
          </w:tcPr>
          <w:p>
            <w:pPr>
              <w:pStyle w:val="18"/>
              <w:rPr>
                <w:color w:val="auto"/>
              </w:rPr>
            </w:pPr>
          </w:p>
        </w:tc>
        <w:tc>
          <w:tcPr>
            <w:tcW w:w="1474" w:type="dxa"/>
            <w:vAlign w:val="center"/>
          </w:tcPr>
          <w:p>
            <w:pPr>
              <w:pStyle w:val="18"/>
              <w:rPr>
                <w:color w:val="auto"/>
              </w:rPr>
            </w:pPr>
          </w:p>
        </w:tc>
      </w:tr>
    </w:tbl>
    <w:p>
      <w:pPr>
        <w:rPr>
          <w:color w:val="auto"/>
        </w:rPr>
        <w:sectPr>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551"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5726" w:type="dxa"/>
            <w:gridSpan w:val="2"/>
            <w:vAlign w:val="center"/>
          </w:tcPr>
          <w:p>
            <w:pPr>
              <w:pStyle w:val="13"/>
              <w:rPr>
                <w:color w:val="auto"/>
              </w:rPr>
            </w:pPr>
            <w:r>
              <w:rPr>
                <w:color w:val="auto"/>
              </w:rPr>
              <w:t>功能分类科目</w:t>
            </w:r>
          </w:p>
        </w:tc>
        <w:tc>
          <w:tcPr>
            <w:tcW w:w="2551" w:type="dxa"/>
            <w:vMerge w:val="restart"/>
            <w:vAlign w:val="center"/>
          </w:tcPr>
          <w:p>
            <w:pPr>
              <w:pStyle w:val="13"/>
              <w:rPr>
                <w:color w:val="auto"/>
              </w:rPr>
            </w:pPr>
            <w:r>
              <w:rPr>
                <w:color w:val="auto"/>
              </w:rPr>
              <w:t>合计</w:t>
            </w:r>
          </w:p>
        </w:tc>
        <w:tc>
          <w:tcPr>
            <w:tcW w:w="2551" w:type="dxa"/>
            <w:vMerge w:val="restart"/>
            <w:vAlign w:val="center"/>
          </w:tcPr>
          <w:p>
            <w:pPr>
              <w:pStyle w:val="13"/>
              <w:rPr>
                <w:color w:val="auto"/>
              </w:rPr>
            </w:pPr>
            <w:r>
              <w:rPr>
                <w:color w:val="auto"/>
              </w:rPr>
              <w:t>基本支出</w:t>
            </w:r>
          </w:p>
        </w:tc>
        <w:tc>
          <w:tcPr>
            <w:tcW w:w="2551" w:type="dxa"/>
            <w:vMerge w:val="restart"/>
            <w:vAlign w:val="center"/>
          </w:tcPr>
          <w:p>
            <w:pPr>
              <w:pStyle w:val="13"/>
              <w:rPr>
                <w:color w:val="auto"/>
              </w:rPr>
            </w:pPr>
            <w:r>
              <w:rPr>
                <w:color w:val="auto"/>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1191" w:type="dxa"/>
            <w:vAlign w:val="center"/>
          </w:tcPr>
          <w:p>
            <w:pPr>
              <w:pStyle w:val="13"/>
              <w:rPr>
                <w:color w:val="auto"/>
              </w:rPr>
            </w:pPr>
            <w:r>
              <w:rPr>
                <w:color w:val="auto"/>
              </w:rPr>
              <w:t>科目编码</w:t>
            </w:r>
          </w:p>
        </w:tc>
        <w:tc>
          <w:tcPr>
            <w:tcW w:w="4535" w:type="dxa"/>
            <w:vAlign w:val="center"/>
          </w:tcPr>
          <w:p>
            <w:pPr>
              <w:pStyle w:val="13"/>
              <w:rPr>
                <w:color w:val="auto"/>
              </w:rPr>
            </w:pPr>
            <w:r>
              <w:rPr>
                <w:color w:val="auto"/>
              </w:rPr>
              <w:t>科目名称</w:t>
            </w:r>
          </w:p>
        </w:tc>
        <w:tc>
          <w:tcPr>
            <w:tcW w:w="2551" w:type="dxa"/>
            <w:vMerge w:val="continue"/>
          </w:tcPr>
          <w:p>
            <w:pPr>
              <w:rPr>
                <w:color w:val="auto"/>
              </w:rPr>
            </w:pPr>
          </w:p>
        </w:tc>
        <w:tc>
          <w:tcPr>
            <w:tcW w:w="2551" w:type="dxa"/>
            <w:vMerge w:val="continue"/>
          </w:tcPr>
          <w:p>
            <w:pPr>
              <w:rPr>
                <w:color w:val="auto"/>
              </w:rPr>
            </w:pPr>
          </w:p>
        </w:tc>
        <w:tc>
          <w:tcPr>
            <w:tcW w:w="2551" w:type="dxa"/>
            <w:vMerge w:val="continue"/>
          </w:tcPr>
          <w:p>
            <w:pP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1191" w:type="dxa"/>
            <w:vAlign w:val="center"/>
          </w:tcPr>
          <w:p>
            <w:pPr>
              <w:pStyle w:val="13"/>
              <w:rPr>
                <w:color w:val="auto"/>
              </w:rPr>
            </w:pPr>
            <w:r>
              <w:rPr>
                <w:color w:val="auto"/>
              </w:rPr>
              <w:t>1</w:t>
            </w:r>
          </w:p>
        </w:tc>
        <w:tc>
          <w:tcPr>
            <w:tcW w:w="4535" w:type="dxa"/>
            <w:vAlign w:val="center"/>
          </w:tcPr>
          <w:p>
            <w:pPr>
              <w:pStyle w:val="13"/>
              <w:rPr>
                <w:color w:val="auto"/>
              </w:rPr>
            </w:pPr>
            <w:r>
              <w:rPr>
                <w:color w:val="auto"/>
              </w:rPr>
              <w:t>2</w:t>
            </w:r>
          </w:p>
        </w:tc>
        <w:tc>
          <w:tcPr>
            <w:tcW w:w="2551" w:type="dxa"/>
            <w:vAlign w:val="center"/>
          </w:tcPr>
          <w:p>
            <w:pPr>
              <w:pStyle w:val="13"/>
              <w:rPr>
                <w:color w:val="auto"/>
              </w:rPr>
            </w:pPr>
            <w:r>
              <w:rPr>
                <w:color w:val="auto"/>
              </w:rPr>
              <w:t>3</w:t>
            </w:r>
          </w:p>
        </w:tc>
        <w:tc>
          <w:tcPr>
            <w:tcW w:w="2551" w:type="dxa"/>
            <w:vAlign w:val="center"/>
          </w:tcPr>
          <w:p>
            <w:pPr>
              <w:pStyle w:val="13"/>
              <w:rPr>
                <w:color w:val="auto"/>
              </w:rPr>
            </w:pPr>
            <w:r>
              <w:rPr>
                <w:color w:val="auto"/>
              </w:rPr>
              <w:t>4</w:t>
            </w:r>
          </w:p>
        </w:tc>
        <w:tc>
          <w:tcPr>
            <w:tcW w:w="2551" w:type="dxa"/>
            <w:vAlign w:val="center"/>
          </w:tcPr>
          <w:p>
            <w:pPr>
              <w:pStyle w:val="13"/>
              <w:rPr>
                <w:color w:val="auto"/>
              </w:rPr>
            </w:pPr>
            <w:r>
              <w:rPr>
                <w:color w:val="auto"/>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w:t>
            </w:r>
          </w:p>
        </w:tc>
        <w:tc>
          <w:tcPr>
            <w:tcW w:w="1191" w:type="dxa"/>
            <w:vAlign w:val="center"/>
          </w:tcPr>
          <w:p>
            <w:pPr>
              <w:pStyle w:val="19"/>
              <w:rPr>
                <w:rFonts w:ascii="方正书宋_GBK" w:hAnsi="方正书宋_GBK" w:eastAsia="方正书宋_GBK" w:cs="方正书宋_GBK"/>
                <w:b/>
                <w:color w:val="auto"/>
                <w:sz w:val="21"/>
                <w:szCs w:val="24"/>
                <w:lang w:val="en-US" w:eastAsia="uk-UA" w:bidi="ar-SA"/>
              </w:rPr>
            </w:pPr>
          </w:p>
        </w:tc>
        <w:tc>
          <w:tcPr>
            <w:tcW w:w="4535" w:type="dxa"/>
            <w:vAlign w:val="center"/>
          </w:tcPr>
          <w:p>
            <w:pPr>
              <w:pStyle w:val="17"/>
              <w:rPr>
                <w:rFonts w:ascii="方正书宋_GBK" w:hAnsi="方正书宋_GBK" w:eastAsia="方正书宋_GBK" w:cs="方正书宋_GBK"/>
                <w:b/>
                <w:color w:val="auto"/>
                <w:sz w:val="21"/>
                <w:szCs w:val="24"/>
                <w:lang w:val="en-US" w:eastAsia="uk-UA" w:bidi="ar-SA"/>
              </w:rPr>
            </w:pPr>
            <w:r>
              <w:rPr>
                <w:color w:val="auto"/>
              </w:rPr>
              <w:t>合计</w:t>
            </w:r>
          </w:p>
        </w:tc>
        <w:tc>
          <w:tcPr>
            <w:tcW w:w="255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13336.12</w:t>
            </w:r>
          </w:p>
        </w:tc>
        <w:tc>
          <w:tcPr>
            <w:tcW w:w="255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4318.79</w:t>
            </w:r>
          </w:p>
        </w:tc>
        <w:tc>
          <w:tcPr>
            <w:tcW w:w="255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9017.33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社会保障和就业支出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3</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行政事业单位养老支出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996.64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4</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事业单位离退休</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5</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2080505</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机关事业单位基本养老保险缴费支出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6</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2080506</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机关事业单位职业年金缴费支出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7</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城乡社区支出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8</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21203</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城乡社区公共设施</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9</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2120303</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小城镇基础设施建设</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3085.86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10</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农林水支出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11</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巩固</w:t>
            </w:r>
            <w:r>
              <w:rPr>
                <w:rFonts w:hint="eastAsia"/>
                <w:color w:val="auto"/>
              </w:rPr>
              <w:t>拓展</w:t>
            </w:r>
            <w:r>
              <w:rPr>
                <w:color w:val="auto"/>
              </w:rPr>
              <w:t>脱贫攻坚成果衔接乡村振兴</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1182.13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12</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2130504</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农村基础设施建设</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718.81</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718.81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13</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2130599</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其他巩固</w:t>
            </w:r>
            <w:r>
              <w:rPr>
                <w:rFonts w:hint="eastAsia"/>
                <w:color w:val="auto"/>
              </w:rPr>
              <w:t>拓展</w:t>
            </w:r>
            <w:r>
              <w:rPr>
                <w:color w:val="auto"/>
              </w:rPr>
              <w:t>脱贫攻坚成果衔接乡村振兴支出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463.31</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463.31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14</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交通运输支出</w:t>
            </w:r>
            <w:bookmarkStart w:id="0" w:name="_GoBack"/>
            <w:bookmarkEnd w:id="0"/>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7924.74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3175.40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4749.34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15</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公路水路运输</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7694.74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3175.40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4519.34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16</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行政运行</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3859.68</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2897.68</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962.00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17</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一般行政管理事务</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56.63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18</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2140104</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公路建设</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2807.71</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2807.71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19</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2140106</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公路养护</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693.00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693.00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20</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2140112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公路运输管理</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277.72</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21</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21406</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车辆购置税支出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22</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2140602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车辆购置税用于农村公路建设支出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23</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住房保障支出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24</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住房改革支出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25</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2210201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住房公积金</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r>
    </w:tbl>
    <w:p>
      <w:pPr>
        <w:rPr>
          <w:color w:val="auto"/>
        </w:rPr>
        <w:sectPr>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551"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103"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5726" w:type="dxa"/>
            <w:gridSpan w:val="2"/>
            <w:vAlign w:val="center"/>
          </w:tcPr>
          <w:p>
            <w:pPr>
              <w:pStyle w:val="13"/>
              <w:rPr>
                <w:color w:val="auto"/>
              </w:rPr>
            </w:pPr>
            <w:r>
              <w:rPr>
                <w:color w:val="auto"/>
              </w:rPr>
              <w:t>支出部门经济分类科目</w:t>
            </w:r>
          </w:p>
        </w:tc>
        <w:tc>
          <w:tcPr>
            <w:tcW w:w="7654" w:type="dxa"/>
            <w:gridSpan w:val="3"/>
            <w:vAlign w:val="center"/>
          </w:tcPr>
          <w:p>
            <w:pPr>
              <w:pStyle w:val="13"/>
              <w:rPr>
                <w:color w:val="auto"/>
              </w:rPr>
            </w:pPr>
            <w:r>
              <w:rPr>
                <w:color w:val="auto"/>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1191" w:type="dxa"/>
            <w:vAlign w:val="center"/>
          </w:tcPr>
          <w:p>
            <w:pPr>
              <w:pStyle w:val="13"/>
              <w:rPr>
                <w:color w:val="auto"/>
              </w:rPr>
            </w:pPr>
            <w:r>
              <w:rPr>
                <w:color w:val="auto"/>
              </w:rPr>
              <w:t>科目编码</w:t>
            </w:r>
          </w:p>
        </w:tc>
        <w:tc>
          <w:tcPr>
            <w:tcW w:w="4535" w:type="dxa"/>
            <w:vAlign w:val="center"/>
          </w:tcPr>
          <w:p>
            <w:pPr>
              <w:pStyle w:val="13"/>
              <w:rPr>
                <w:color w:val="auto"/>
              </w:rPr>
            </w:pPr>
            <w:r>
              <w:rPr>
                <w:color w:val="auto"/>
              </w:rPr>
              <w:t>科目名称</w:t>
            </w:r>
          </w:p>
        </w:tc>
        <w:tc>
          <w:tcPr>
            <w:tcW w:w="2551" w:type="dxa"/>
            <w:vAlign w:val="center"/>
          </w:tcPr>
          <w:p>
            <w:pPr>
              <w:pStyle w:val="13"/>
              <w:rPr>
                <w:color w:val="auto"/>
              </w:rPr>
            </w:pPr>
            <w:r>
              <w:rPr>
                <w:color w:val="auto"/>
              </w:rPr>
              <w:t>合计</w:t>
            </w:r>
          </w:p>
        </w:tc>
        <w:tc>
          <w:tcPr>
            <w:tcW w:w="2551" w:type="dxa"/>
            <w:vAlign w:val="center"/>
          </w:tcPr>
          <w:p>
            <w:pPr>
              <w:pStyle w:val="13"/>
              <w:rPr>
                <w:color w:val="auto"/>
              </w:rPr>
            </w:pPr>
            <w:r>
              <w:rPr>
                <w:color w:val="auto"/>
              </w:rPr>
              <w:t>人员经费</w:t>
            </w:r>
          </w:p>
        </w:tc>
        <w:tc>
          <w:tcPr>
            <w:tcW w:w="2552" w:type="dxa"/>
            <w:vAlign w:val="center"/>
          </w:tcPr>
          <w:p>
            <w:pPr>
              <w:pStyle w:val="13"/>
              <w:rPr>
                <w:color w:val="auto"/>
              </w:rPr>
            </w:pPr>
            <w:r>
              <w:rPr>
                <w:color w:val="auto"/>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1191" w:type="dxa"/>
            <w:vAlign w:val="center"/>
          </w:tcPr>
          <w:p>
            <w:pPr>
              <w:pStyle w:val="13"/>
              <w:rPr>
                <w:color w:val="auto"/>
              </w:rPr>
            </w:pPr>
            <w:r>
              <w:rPr>
                <w:color w:val="auto"/>
              </w:rPr>
              <w:t>1</w:t>
            </w:r>
          </w:p>
        </w:tc>
        <w:tc>
          <w:tcPr>
            <w:tcW w:w="4535" w:type="dxa"/>
            <w:vAlign w:val="center"/>
          </w:tcPr>
          <w:p>
            <w:pPr>
              <w:pStyle w:val="13"/>
              <w:rPr>
                <w:color w:val="auto"/>
              </w:rPr>
            </w:pPr>
            <w:r>
              <w:rPr>
                <w:color w:val="auto"/>
              </w:rPr>
              <w:t>2</w:t>
            </w:r>
          </w:p>
        </w:tc>
        <w:tc>
          <w:tcPr>
            <w:tcW w:w="2551" w:type="dxa"/>
            <w:vAlign w:val="center"/>
          </w:tcPr>
          <w:p>
            <w:pPr>
              <w:pStyle w:val="13"/>
              <w:rPr>
                <w:color w:val="auto"/>
              </w:rPr>
            </w:pPr>
            <w:r>
              <w:rPr>
                <w:color w:val="auto"/>
              </w:rPr>
              <w:t>3</w:t>
            </w:r>
          </w:p>
        </w:tc>
        <w:tc>
          <w:tcPr>
            <w:tcW w:w="2551" w:type="dxa"/>
            <w:vAlign w:val="center"/>
          </w:tcPr>
          <w:p>
            <w:pPr>
              <w:pStyle w:val="13"/>
              <w:rPr>
                <w:color w:val="auto"/>
              </w:rPr>
            </w:pPr>
            <w:r>
              <w:rPr>
                <w:color w:val="auto"/>
              </w:rPr>
              <w:t>4</w:t>
            </w:r>
          </w:p>
        </w:tc>
        <w:tc>
          <w:tcPr>
            <w:tcW w:w="2552" w:type="dxa"/>
            <w:vAlign w:val="center"/>
          </w:tcPr>
          <w:p>
            <w:pPr>
              <w:pStyle w:val="13"/>
              <w:rPr>
                <w:color w:val="auto"/>
              </w:rPr>
            </w:pPr>
            <w:r>
              <w:rPr>
                <w:color w:val="auto"/>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w:t>
            </w:r>
          </w:p>
        </w:tc>
        <w:tc>
          <w:tcPr>
            <w:tcW w:w="1191" w:type="dxa"/>
            <w:vAlign w:val="center"/>
          </w:tcPr>
          <w:p>
            <w:pPr>
              <w:pStyle w:val="19"/>
              <w:rPr>
                <w:rFonts w:ascii="方正书宋_GBK" w:hAnsi="方正书宋_GBK" w:eastAsia="方正书宋_GBK" w:cs="方正书宋_GBK"/>
                <w:b/>
                <w:color w:val="auto"/>
                <w:sz w:val="21"/>
                <w:szCs w:val="24"/>
                <w:lang w:val="en-US" w:eastAsia="uk-UA" w:bidi="ar-SA"/>
              </w:rPr>
            </w:pPr>
          </w:p>
        </w:tc>
        <w:tc>
          <w:tcPr>
            <w:tcW w:w="4535" w:type="dxa"/>
            <w:vAlign w:val="center"/>
          </w:tcPr>
          <w:p>
            <w:pPr>
              <w:pStyle w:val="17"/>
              <w:rPr>
                <w:rFonts w:ascii="方正书宋_GBK" w:hAnsi="方正书宋_GBK" w:eastAsia="方正书宋_GBK" w:cs="方正书宋_GBK"/>
                <w:b/>
                <w:color w:val="auto"/>
                <w:sz w:val="21"/>
                <w:szCs w:val="24"/>
                <w:lang w:val="en-US" w:eastAsia="uk-UA" w:bidi="ar-SA"/>
              </w:rPr>
            </w:pPr>
            <w:r>
              <w:rPr>
                <w:color w:val="auto"/>
              </w:rPr>
              <w:t>合计</w:t>
            </w:r>
          </w:p>
        </w:tc>
        <w:tc>
          <w:tcPr>
            <w:tcW w:w="255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4318.79</w:t>
            </w:r>
          </w:p>
        </w:tc>
        <w:tc>
          <w:tcPr>
            <w:tcW w:w="2551"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4229.10</w:t>
            </w:r>
          </w:p>
        </w:tc>
        <w:tc>
          <w:tcPr>
            <w:tcW w:w="2552" w:type="dxa"/>
            <w:vAlign w:val="center"/>
          </w:tcPr>
          <w:p>
            <w:pPr>
              <w:pStyle w:val="18"/>
              <w:rPr>
                <w:rFonts w:ascii="方正书宋_GBK" w:hAnsi="方正书宋_GBK" w:eastAsia="方正书宋_GBK" w:cs="方正书宋_GBK"/>
                <w:b/>
                <w:color w:val="auto"/>
                <w:sz w:val="21"/>
                <w:szCs w:val="24"/>
                <w:lang w:val="en-US" w:eastAsia="uk-UA" w:bidi="ar-SA"/>
              </w:rPr>
            </w:pPr>
            <w:r>
              <w:rPr>
                <w:color w:val="auto"/>
              </w:rPr>
              <w:t>89.69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工资福利支出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4001.46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4001.46</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3</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30101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基本工资</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35.80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35.80</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4</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津贴补贴</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127.12</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127.12</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5</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30103</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奖金</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116.09</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116.09</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6</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30108</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机关事业单位基本养老保险缴费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516.46</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7</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30109</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职业年金缴费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258.24</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8</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30110</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职工基本医疗保险缴费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209.87</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209.87</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9</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30112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其他社会保障缴费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16.16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16.16</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10</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30113</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住房公积金</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146.75</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11</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30199</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其他工资福利支出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2574.97</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2574.97</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12</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商品和服务支出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94.43</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4.74</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89.69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13</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30201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办公费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11.50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14</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30205</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水费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1.33</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15</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30206</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电费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11.50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16</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30207</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邮电费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1.80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17</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30211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差旅费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18</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30217</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公务接待费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8.00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19</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30231</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公务用车运行维护费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30.50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30.50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20</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30239</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其他交通费用</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4.74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4.74</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21</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30299</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其他商品和服务支出</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2.06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22</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303</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对个人和家庭的补助</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222.90</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222.90</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23</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30302</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退休费</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221.94</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24</w:t>
            </w:r>
          </w:p>
        </w:tc>
        <w:tc>
          <w:tcPr>
            <w:tcW w:w="1191"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30305</w:t>
            </w:r>
          </w:p>
        </w:tc>
        <w:tc>
          <w:tcPr>
            <w:tcW w:w="4535"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生活补助</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0.96</w:t>
            </w:r>
          </w:p>
        </w:tc>
        <w:tc>
          <w:tcPr>
            <w:tcW w:w="2551" w:type="dxa"/>
            <w:vAlign w:val="center"/>
          </w:tcPr>
          <w:p>
            <w:pPr>
              <w:pStyle w:val="14"/>
              <w:rPr>
                <w:rFonts w:ascii="方正书宋_GBK" w:hAnsi="方正书宋_GBK" w:eastAsia="方正书宋_GBK" w:cs="方正书宋_GBK"/>
                <w:color w:val="auto"/>
                <w:sz w:val="21"/>
                <w:szCs w:val="24"/>
                <w:lang w:val="en-US" w:eastAsia="uk-UA" w:bidi="ar-SA"/>
              </w:rPr>
            </w:pPr>
            <w:r>
              <w:rPr>
                <w:color w:val="auto"/>
              </w:rPr>
              <w:t>0.96</w:t>
            </w:r>
          </w:p>
        </w:tc>
        <w:tc>
          <w:tcPr>
            <w:tcW w:w="2552" w:type="dxa"/>
            <w:vAlign w:val="center"/>
          </w:tcPr>
          <w:p>
            <w:pPr>
              <w:pStyle w:val="14"/>
              <w:rPr>
                <w:rFonts w:ascii="方正书宋_GBK" w:hAnsi="方正书宋_GBK" w:eastAsia="方正书宋_GBK" w:cs="方正书宋_GBK"/>
                <w:color w:val="auto"/>
                <w:sz w:val="21"/>
                <w:szCs w:val="24"/>
                <w:lang w:val="en-US" w:eastAsia="uk-UA" w:bidi="ar-SA"/>
              </w:rPr>
            </w:pPr>
          </w:p>
        </w:tc>
      </w:tr>
    </w:tbl>
    <w:p>
      <w:pPr>
        <w:rPr>
          <w:color w:val="auto"/>
        </w:rPr>
        <w:sectPr>
          <w:pgSz w:w="16840" w:h="11900" w:orient="landscape"/>
          <w:pgMar w:top="1361" w:right="1020" w:bottom="1134"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551"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5726" w:type="dxa"/>
            <w:gridSpan w:val="2"/>
            <w:vAlign w:val="center"/>
          </w:tcPr>
          <w:p>
            <w:pPr>
              <w:pStyle w:val="13"/>
              <w:rPr>
                <w:color w:val="auto"/>
              </w:rPr>
            </w:pPr>
            <w:r>
              <w:rPr>
                <w:color w:val="auto"/>
              </w:rPr>
              <w:t>功能分类科目</w:t>
            </w:r>
          </w:p>
        </w:tc>
        <w:tc>
          <w:tcPr>
            <w:tcW w:w="2551" w:type="dxa"/>
            <w:vMerge w:val="restart"/>
            <w:vAlign w:val="center"/>
          </w:tcPr>
          <w:p>
            <w:pPr>
              <w:pStyle w:val="13"/>
              <w:rPr>
                <w:color w:val="auto"/>
              </w:rPr>
            </w:pPr>
            <w:r>
              <w:rPr>
                <w:color w:val="auto"/>
              </w:rPr>
              <w:t>合计</w:t>
            </w:r>
          </w:p>
        </w:tc>
        <w:tc>
          <w:tcPr>
            <w:tcW w:w="2551" w:type="dxa"/>
            <w:vMerge w:val="restart"/>
            <w:vAlign w:val="center"/>
          </w:tcPr>
          <w:p>
            <w:pPr>
              <w:pStyle w:val="13"/>
              <w:rPr>
                <w:color w:val="auto"/>
              </w:rPr>
            </w:pPr>
            <w:r>
              <w:rPr>
                <w:color w:val="auto"/>
              </w:rPr>
              <w:t>基本支出</w:t>
            </w:r>
          </w:p>
        </w:tc>
        <w:tc>
          <w:tcPr>
            <w:tcW w:w="2551" w:type="dxa"/>
            <w:vMerge w:val="restart"/>
            <w:vAlign w:val="center"/>
          </w:tcPr>
          <w:p>
            <w:pPr>
              <w:pStyle w:val="13"/>
              <w:rPr>
                <w:color w:val="auto"/>
              </w:rPr>
            </w:pPr>
            <w:r>
              <w:rPr>
                <w:color w:val="auto"/>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1191" w:type="dxa"/>
            <w:vAlign w:val="center"/>
          </w:tcPr>
          <w:p>
            <w:pPr>
              <w:pStyle w:val="13"/>
              <w:rPr>
                <w:color w:val="auto"/>
              </w:rPr>
            </w:pPr>
            <w:r>
              <w:rPr>
                <w:color w:val="auto"/>
              </w:rPr>
              <w:t>科目编码</w:t>
            </w:r>
          </w:p>
        </w:tc>
        <w:tc>
          <w:tcPr>
            <w:tcW w:w="4535" w:type="dxa"/>
            <w:vAlign w:val="center"/>
          </w:tcPr>
          <w:p>
            <w:pPr>
              <w:pStyle w:val="13"/>
              <w:rPr>
                <w:color w:val="auto"/>
              </w:rPr>
            </w:pPr>
            <w:r>
              <w:rPr>
                <w:color w:val="auto"/>
              </w:rPr>
              <w:t>科目名称</w:t>
            </w:r>
          </w:p>
        </w:tc>
        <w:tc>
          <w:tcPr>
            <w:tcW w:w="2551" w:type="dxa"/>
            <w:vMerge w:val="continue"/>
          </w:tcPr>
          <w:p>
            <w:pPr>
              <w:rPr>
                <w:color w:val="auto"/>
              </w:rPr>
            </w:pPr>
          </w:p>
        </w:tc>
        <w:tc>
          <w:tcPr>
            <w:tcW w:w="2551" w:type="dxa"/>
            <w:vMerge w:val="continue"/>
          </w:tcPr>
          <w:p>
            <w:pPr>
              <w:rPr>
                <w:color w:val="auto"/>
              </w:rPr>
            </w:pPr>
          </w:p>
        </w:tc>
        <w:tc>
          <w:tcPr>
            <w:tcW w:w="2551" w:type="dxa"/>
            <w:vMerge w:val="continue"/>
          </w:tcPr>
          <w:p>
            <w:pP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1191" w:type="dxa"/>
            <w:vAlign w:val="center"/>
          </w:tcPr>
          <w:p>
            <w:pPr>
              <w:pStyle w:val="13"/>
              <w:rPr>
                <w:color w:val="auto"/>
              </w:rPr>
            </w:pPr>
            <w:r>
              <w:rPr>
                <w:color w:val="auto"/>
              </w:rPr>
              <w:t>1</w:t>
            </w:r>
          </w:p>
        </w:tc>
        <w:tc>
          <w:tcPr>
            <w:tcW w:w="4535" w:type="dxa"/>
            <w:vAlign w:val="center"/>
          </w:tcPr>
          <w:p>
            <w:pPr>
              <w:pStyle w:val="13"/>
              <w:rPr>
                <w:color w:val="auto"/>
              </w:rPr>
            </w:pPr>
            <w:r>
              <w:rPr>
                <w:color w:val="auto"/>
              </w:rPr>
              <w:t>2</w:t>
            </w:r>
          </w:p>
        </w:tc>
        <w:tc>
          <w:tcPr>
            <w:tcW w:w="2551" w:type="dxa"/>
            <w:vAlign w:val="center"/>
          </w:tcPr>
          <w:p>
            <w:pPr>
              <w:pStyle w:val="13"/>
              <w:rPr>
                <w:color w:val="auto"/>
              </w:rPr>
            </w:pPr>
            <w:r>
              <w:rPr>
                <w:color w:val="auto"/>
              </w:rPr>
              <w:t>3</w:t>
            </w:r>
          </w:p>
        </w:tc>
        <w:tc>
          <w:tcPr>
            <w:tcW w:w="2551" w:type="dxa"/>
            <w:vAlign w:val="center"/>
          </w:tcPr>
          <w:p>
            <w:pPr>
              <w:pStyle w:val="13"/>
              <w:rPr>
                <w:color w:val="auto"/>
              </w:rPr>
            </w:pPr>
            <w:r>
              <w:rPr>
                <w:color w:val="auto"/>
              </w:rPr>
              <w:t>4</w:t>
            </w:r>
          </w:p>
        </w:tc>
        <w:tc>
          <w:tcPr>
            <w:tcW w:w="2551" w:type="dxa"/>
            <w:vAlign w:val="center"/>
          </w:tcPr>
          <w:p>
            <w:pPr>
              <w:pStyle w:val="13"/>
              <w:rPr>
                <w:color w:val="auto"/>
              </w:rPr>
            </w:pPr>
            <w:r>
              <w:rPr>
                <w:color w:val="auto"/>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p>
        </w:tc>
        <w:tc>
          <w:tcPr>
            <w:tcW w:w="1191" w:type="dxa"/>
            <w:vAlign w:val="center"/>
          </w:tcPr>
          <w:p>
            <w:pPr>
              <w:pStyle w:val="15"/>
              <w:rPr>
                <w:color w:val="auto"/>
              </w:rPr>
            </w:pPr>
          </w:p>
        </w:tc>
        <w:tc>
          <w:tcPr>
            <w:tcW w:w="4535" w:type="dxa"/>
            <w:vAlign w:val="center"/>
          </w:tcPr>
          <w:p>
            <w:pPr>
              <w:pStyle w:val="15"/>
              <w:rPr>
                <w:color w:val="auto"/>
              </w:rPr>
            </w:pPr>
          </w:p>
        </w:tc>
        <w:tc>
          <w:tcPr>
            <w:tcW w:w="2551" w:type="dxa"/>
            <w:vAlign w:val="center"/>
          </w:tcPr>
          <w:p>
            <w:pPr>
              <w:pStyle w:val="14"/>
              <w:rPr>
                <w:color w:val="auto"/>
              </w:rPr>
            </w:pPr>
          </w:p>
        </w:tc>
        <w:tc>
          <w:tcPr>
            <w:tcW w:w="2551" w:type="dxa"/>
            <w:vAlign w:val="center"/>
          </w:tcPr>
          <w:p>
            <w:pPr>
              <w:pStyle w:val="14"/>
              <w:rPr>
                <w:color w:val="auto"/>
              </w:rPr>
            </w:pPr>
          </w:p>
        </w:tc>
        <w:tc>
          <w:tcPr>
            <w:tcW w:w="2551" w:type="dxa"/>
            <w:vAlign w:val="center"/>
          </w:tcPr>
          <w:p>
            <w:pPr>
              <w:pStyle w:val="14"/>
              <w:rPr>
                <w:color w:val="auto"/>
              </w:rPr>
            </w:pPr>
          </w:p>
        </w:tc>
      </w:tr>
    </w:tbl>
    <w:p>
      <w:pPr>
        <w:ind w:firstLine="420"/>
        <w:rPr>
          <w:color w:val="auto"/>
        </w:rPr>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auto"/>
          <w:sz w:val="21"/>
        </w:rPr>
        <w:t>注：无政府基金预算财政拨款预算，空表列示。</w:t>
      </w: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551"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5726" w:type="dxa"/>
            <w:gridSpan w:val="2"/>
            <w:vAlign w:val="center"/>
          </w:tcPr>
          <w:p>
            <w:pPr>
              <w:pStyle w:val="13"/>
              <w:rPr>
                <w:color w:val="auto"/>
              </w:rPr>
            </w:pPr>
            <w:r>
              <w:rPr>
                <w:color w:val="auto"/>
              </w:rPr>
              <w:t>功能分类科目</w:t>
            </w:r>
          </w:p>
        </w:tc>
        <w:tc>
          <w:tcPr>
            <w:tcW w:w="2551" w:type="dxa"/>
            <w:vMerge w:val="restart"/>
            <w:vAlign w:val="center"/>
          </w:tcPr>
          <w:p>
            <w:pPr>
              <w:pStyle w:val="13"/>
              <w:rPr>
                <w:color w:val="auto"/>
              </w:rPr>
            </w:pPr>
            <w:r>
              <w:rPr>
                <w:color w:val="auto"/>
              </w:rPr>
              <w:t>合计</w:t>
            </w:r>
          </w:p>
        </w:tc>
        <w:tc>
          <w:tcPr>
            <w:tcW w:w="2551" w:type="dxa"/>
            <w:vMerge w:val="restart"/>
            <w:vAlign w:val="center"/>
          </w:tcPr>
          <w:p>
            <w:pPr>
              <w:pStyle w:val="13"/>
              <w:rPr>
                <w:color w:val="auto"/>
              </w:rPr>
            </w:pPr>
            <w:r>
              <w:rPr>
                <w:color w:val="auto"/>
              </w:rPr>
              <w:t>基本支出</w:t>
            </w:r>
          </w:p>
        </w:tc>
        <w:tc>
          <w:tcPr>
            <w:tcW w:w="2551" w:type="dxa"/>
            <w:vMerge w:val="restart"/>
            <w:vAlign w:val="center"/>
          </w:tcPr>
          <w:p>
            <w:pPr>
              <w:pStyle w:val="13"/>
              <w:rPr>
                <w:color w:val="auto"/>
              </w:rPr>
            </w:pPr>
            <w:r>
              <w:rPr>
                <w:color w:val="auto"/>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color w:val="auto"/>
              </w:rPr>
            </w:pPr>
          </w:p>
        </w:tc>
        <w:tc>
          <w:tcPr>
            <w:tcW w:w="1191" w:type="dxa"/>
            <w:vAlign w:val="center"/>
          </w:tcPr>
          <w:p>
            <w:pPr>
              <w:pStyle w:val="13"/>
              <w:rPr>
                <w:color w:val="auto"/>
              </w:rPr>
            </w:pPr>
            <w:r>
              <w:rPr>
                <w:color w:val="auto"/>
              </w:rPr>
              <w:t>科目编码</w:t>
            </w:r>
          </w:p>
        </w:tc>
        <w:tc>
          <w:tcPr>
            <w:tcW w:w="4535" w:type="dxa"/>
            <w:vAlign w:val="center"/>
          </w:tcPr>
          <w:p>
            <w:pPr>
              <w:pStyle w:val="13"/>
              <w:rPr>
                <w:color w:val="auto"/>
              </w:rPr>
            </w:pPr>
            <w:r>
              <w:rPr>
                <w:color w:val="auto"/>
              </w:rPr>
              <w:t>科目名称</w:t>
            </w:r>
          </w:p>
        </w:tc>
        <w:tc>
          <w:tcPr>
            <w:tcW w:w="2551" w:type="dxa"/>
            <w:vMerge w:val="continue"/>
          </w:tcPr>
          <w:p>
            <w:pPr>
              <w:rPr>
                <w:color w:val="auto"/>
              </w:rPr>
            </w:pPr>
          </w:p>
        </w:tc>
        <w:tc>
          <w:tcPr>
            <w:tcW w:w="2551" w:type="dxa"/>
            <w:vMerge w:val="continue"/>
          </w:tcPr>
          <w:p>
            <w:pPr>
              <w:rPr>
                <w:color w:val="auto"/>
              </w:rPr>
            </w:pPr>
          </w:p>
        </w:tc>
        <w:tc>
          <w:tcPr>
            <w:tcW w:w="2551" w:type="dxa"/>
            <w:vMerge w:val="continue"/>
          </w:tcPr>
          <w:p>
            <w:pP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rPr>
                <w:color w:val="auto"/>
              </w:rPr>
            </w:pPr>
            <w:r>
              <w:rPr>
                <w:color w:val="auto"/>
              </w:rPr>
              <w:t>栏次</w:t>
            </w:r>
          </w:p>
        </w:tc>
        <w:tc>
          <w:tcPr>
            <w:tcW w:w="1191" w:type="dxa"/>
            <w:vAlign w:val="center"/>
          </w:tcPr>
          <w:p>
            <w:pPr>
              <w:pStyle w:val="13"/>
              <w:rPr>
                <w:color w:val="auto"/>
              </w:rPr>
            </w:pPr>
            <w:r>
              <w:rPr>
                <w:color w:val="auto"/>
              </w:rPr>
              <w:t>1</w:t>
            </w:r>
          </w:p>
        </w:tc>
        <w:tc>
          <w:tcPr>
            <w:tcW w:w="4535" w:type="dxa"/>
            <w:vAlign w:val="center"/>
          </w:tcPr>
          <w:p>
            <w:pPr>
              <w:pStyle w:val="13"/>
              <w:rPr>
                <w:color w:val="auto"/>
              </w:rPr>
            </w:pPr>
            <w:r>
              <w:rPr>
                <w:color w:val="auto"/>
              </w:rPr>
              <w:t>2</w:t>
            </w:r>
          </w:p>
        </w:tc>
        <w:tc>
          <w:tcPr>
            <w:tcW w:w="2551" w:type="dxa"/>
            <w:vAlign w:val="center"/>
          </w:tcPr>
          <w:p>
            <w:pPr>
              <w:pStyle w:val="13"/>
              <w:rPr>
                <w:color w:val="auto"/>
              </w:rPr>
            </w:pPr>
            <w:r>
              <w:rPr>
                <w:color w:val="auto"/>
              </w:rPr>
              <w:t>3</w:t>
            </w:r>
          </w:p>
        </w:tc>
        <w:tc>
          <w:tcPr>
            <w:tcW w:w="2551" w:type="dxa"/>
            <w:vAlign w:val="center"/>
          </w:tcPr>
          <w:p>
            <w:pPr>
              <w:pStyle w:val="13"/>
              <w:rPr>
                <w:color w:val="auto"/>
              </w:rPr>
            </w:pPr>
            <w:r>
              <w:rPr>
                <w:color w:val="auto"/>
              </w:rPr>
              <w:t>4</w:t>
            </w:r>
          </w:p>
        </w:tc>
        <w:tc>
          <w:tcPr>
            <w:tcW w:w="2551" w:type="dxa"/>
            <w:vAlign w:val="center"/>
          </w:tcPr>
          <w:p>
            <w:pPr>
              <w:pStyle w:val="13"/>
              <w:rPr>
                <w:color w:val="auto"/>
              </w:rPr>
            </w:pPr>
            <w:r>
              <w:rPr>
                <w:color w:val="auto"/>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color w:val="auto"/>
              </w:rPr>
            </w:pPr>
          </w:p>
        </w:tc>
        <w:tc>
          <w:tcPr>
            <w:tcW w:w="1191" w:type="dxa"/>
            <w:vAlign w:val="center"/>
          </w:tcPr>
          <w:p>
            <w:pPr>
              <w:pStyle w:val="15"/>
              <w:rPr>
                <w:color w:val="auto"/>
              </w:rPr>
            </w:pPr>
          </w:p>
        </w:tc>
        <w:tc>
          <w:tcPr>
            <w:tcW w:w="4535" w:type="dxa"/>
            <w:vAlign w:val="center"/>
          </w:tcPr>
          <w:p>
            <w:pPr>
              <w:pStyle w:val="15"/>
              <w:rPr>
                <w:color w:val="auto"/>
              </w:rPr>
            </w:pPr>
          </w:p>
        </w:tc>
        <w:tc>
          <w:tcPr>
            <w:tcW w:w="2551" w:type="dxa"/>
            <w:vAlign w:val="center"/>
          </w:tcPr>
          <w:p>
            <w:pPr>
              <w:pStyle w:val="14"/>
              <w:rPr>
                <w:color w:val="auto"/>
              </w:rPr>
            </w:pPr>
          </w:p>
        </w:tc>
        <w:tc>
          <w:tcPr>
            <w:tcW w:w="2551" w:type="dxa"/>
            <w:vAlign w:val="center"/>
          </w:tcPr>
          <w:p>
            <w:pPr>
              <w:pStyle w:val="14"/>
              <w:rPr>
                <w:color w:val="auto"/>
              </w:rPr>
            </w:pPr>
          </w:p>
        </w:tc>
        <w:tc>
          <w:tcPr>
            <w:tcW w:w="2551" w:type="dxa"/>
            <w:vAlign w:val="center"/>
          </w:tcPr>
          <w:p>
            <w:pPr>
              <w:pStyle w:val="14"/>
              <w:rPr>
                <w:color w:val="auto"/>
              </w:rPr>
            </w:pPr>
          </w:p>
        </w:tc>
      </w:tr>
    </w:tbl>
    <w:p>
      <w:pPr>
        <w:ind w:firstLine="420"/>
        <w:rPr>
          <w:color w:val="auto"/>
        </w:rPr>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auto"/>
          <w:sz w:val="21"/>
        </w:rPr>
        <w:t>注：无国有资本经营预算财政拨款预算，空表列示。</w:t>
      </w:r>
    </w:p>
    <w:p>
      <w:pPr>
        <w:jc w:val="center"/>
        <w:outlineLvl w:val="4"/>
        <w:rPr>
          <w:color w:val="auto"/>
        </w:rPr>
      </w:pPr>
      <w:r>
        <w:rPr>
          <w:rFonts w:hint="eastAsia" w:ascii="方正小标宋_GBK" w:hAnsi="方正小标宋_GBK" w:eastAsia="方正小标宋_GBK" w:cs="方正小标宋_GBK"/>
          <w:color w:val="auto"/>
          <w:sz w:val="36"/>
          <w:lang w:eastAsia="zh-CN"/>
        </w:rPr>
        <w:t>部门</w:t>
      </w:r>
      <w:r>
        <w:rPr>
          <w:rFonts w:ascii="方正小标宋_GBK" w:hAnsi="方正小标宋_GBK" w:eastAsia="方正小标宋_GBK" w:cs="方正小标宋_GBK"/>
          <w:color w:val="auto"/>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rPr>
                <w:color w:val="auto"/>
              </w:rPr>
            </w:pPr>
            <w:r>
              <w:rPr>
                <w:rFonts w:hint="eastAsia"/>
                <w:color w:val="auto"/>
                <w:lang w:val="en-US" w:eastAsia="zh-CN"/>
              </w:rPr>
              <w:t>348</w:t>
            </w:r>
            <w:r>
              <w:rPr>
                <w:rFonts w:hint="eastAsia"/>
                <w:color w:val="auto"/>
                <w:lang w:eastAsia="zh-CN"/>
              </w:rPr>
              <w:t>涞源县交通运输局</w:t>
            </w:r>
          </w:p>
        </w:tc>
        <w:tc>
          <w:tcPr>
            <w:tcW w:w="2381" w:type="dxa"/>
            <w:tcBorders>
              <w:top w:val="single" w:color="FFFFFF" w:sz="6" w:space="0"/>
              <w:left w:val="single" w:color="FFFFFF" w:sz="6" w:space="0"/>
              <w:right w:val="single" w:color="FFFFFF" w:sz="6" w:space="0"/>
            </w:tcBorders>
            <w:vAlign w:val="center"/>
          </w:tcPr>
          <w:p>
            <w:pPr>
              <w:pStyle w:val="11"/>
              <w:rPr>
                <w:color w:val="auto"/>
              </w:rPr>
            </w:pPr>
            <w:r>
              <w:rPr>
                <w:color w:val="auto"/>
              </w:rPr>
              <w:t>预算年度：2023</w:t>
            </w:r>
          </w:p>
        </w:tc>
        <w:tc>
          <w:tcPr>
            <w:tcW w:w="4762"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rPr>
                <w:color w:val="auto"/>
              </w:rPr>
            </w:pPr>
            <w:r>
              <w:rPr>
                <w:color w:val="auto"/>
              </w:rPr>
              <w:t>序号</w:t>
            </w:r>
          </w:p>
        </w:tc>
        <w:tc>
          <w:tcPr>
            <w:tcW w:w="3798" w:type="dxa"/>
            <w:vMerge w:val="restart"/>
            <w:vAlign w:val="center"/>
          </w:tcPr>
          <w:p>
            <w:pPr>
              <w:pStyle w:val="13"/>
              <w:rPr>
                <w:color w:val="auto"/>
              </w:rPr>
            </w:pPr>
            <w:r>
              <w:rPr>
                <w:color w:val="auto"/>
              </w:rPr>
              <w:t>项  目</w:t>
            </w:r>
          </w:p>
        </w:tc>
        <w:tc>
          <w:tcPr>
            <w:tcW w:w="9524" w:type="dxa"/>
            <w:gridSpan w:val="4"/>
            <w:vAlign w:val="center"/>
          </w:tcPr>
          <w:p>
            <w:pPr>
              <w:pStyle w:val="13"/>
              <w:rPr>
                <w:color w:val="auto"/>
              </w:rPr>
            </w:pPr>
            <w:r>
              <w:rPr>
                <w:color w:val="auto"/>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color w:val="auto"/>
              </w:rPr>
            </w:pPr>
          </w:p>
        </w:tc>
        <w:tc>
          <w:tcPr>
            <w:tcW w:w="3798" w:type="dxa"/>
            <w:vMerge w:val="continue"/>
          </w:tcPr>
          <w:p>
            <w:pPr>
              <w:rPr>
                <w:color w:val="auto"/>
              </w:rPr>
            </w:pPr>
          </w:p>
        </w:tc>
        <w:tc>
          <w:tcPr>
            <w:tcW w:w="2381" w:type="dxa"/>
            <w:vAlign w:val="center"/>
          </w:tcPr>
          <w:p>
            <w:pPr>
              <w:pStyle w:val="13"/>
              <w:rPr>
                <w:color w:val="auto"/>
              </w:rPr>
            </w:pPr>
            <w:r>
              <w:rPr>
                <w:color w:val="auto"/>
              </w:rPr>
              <w:t>合计</w:t>
            </w:r>
          </w:p>
        </w:tc>
        <w:tc>
          <w:tcPr>
            <w:tcW w:w="2381" w:type="dxa"/>
            <w:vAlign w:val="center"/>
          </w:tcPr>
          <w:p>
            <w:pPr>
              <w:pStyle w:val="13"/>
              <w:rPr>
                <w:color w:val="auto"/>
              </w:rPr>
            </w:pPr>
            <w:r>
              <w:rPr>
                <w:color w:val="auto"/>
              </w:rPr>
              <w:t>一般公共预算              财政拨款</w:t>
            </w:r>
          </w:p>
        </w:tc>
        <w:tc>
          <w:tcPr>
            <w:tcW w:w="2381" w:type="dxa"/>
            <w:vAlign w:val="center"/>
          </w:tcPr>
          <w:p>
            <w:pPr>
              <w:pStyle w:val="13"/>
              <w:rPr>
                <w:color w:val="auto"/>
              </w:rPr>
            </w:pPr>
            <w:r>
              <w:rPr>
                <w:color w:val="auto"/>
              </w:rPr>
              <w:t>政府性基金                  预算拨款</w:t>
            </w:r>
          </w:p>
        </w:tc>
        <w:tc>
          <w:tcPr>
            <w:tcW w:w="2381" w:type="dxa"/>
            <w:vAlign w:val="center"/>
          </w:tcPr>
          <w:p>
            <w:pPr>
              <w:pStyle w:val="13"/>
              <w:rPr>
                <w:color w:val="auto"/>
              </w:rPr>
            </w:pPr>
            <w:r>
              <w:rPr>
                <w:color w:val="auto"/>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rPr>
                <w:color w:val="auto"/>
              </w:rPr>
            </w:pPr>
            <w:r>
              <w:rPr>
                <w:color w:val="auto"/>
              </w:rPr>
              <w:t>栏次</w:t>
            </w:r>
          </w:p>
        </w:tc>
        <w:tc>
          <w:tcPr>
            <w:tcW w:w="3798" w:type="dxa"/>
            <w:vAlign w:val="center"/>
          </w:tcPr>
          <w:p>
            <w:pPr>
              <w:pStyle w:val="13"/>
              <w:rPr>
                <w:color w:val="auto"/>
              </w:rPr>
            </w:pPr>
            <w:r>
              <w:rPr>
                <w:color w:val="auto"/>
              </w:rPr>
              <w:t>1</w:t>
            </w:r>
          </w:p>
        </w:tc>
        <w:tc>
          <w:tcPr>
            <w:tcW w:w="2381" w:type="dxa"/>
            <w:vAlign w:val="center"/>
          </w:tcPr>
          <w:p>
            <w:pPr>
              <w:pStyle w:val="13"/>
              <w:rPr>
                <w:color w:val="auto"/>
              </w:rPr>
            </w:pPr>
            <w:r>
              <w:rPr>
                <w:color w:val="auto"/>
              </w:rPr>
              <w:t>2</w:t>
            </w:r>
          </w:p>
        </w:tc>
        <w:tc>
          <w:tcPr>
            <w:tcW w:w="2381" w:type="dxa"/>
            <w:vAlign w:val="center"/>
          </w:tcPr>
          <w:p>
            <w:pPr>
              <w:pStyle w:val="13"/>
              <w:rPr>
                <w:color w:val="auto"/>
              </w:rPr>
            </w:pPr>
            <w:r>
              <w:rPr>
                <w:color w:val="auto"/>
              </w:rPr>
              <w:t>3</w:t>
            </w:r>
          </w:p>
        </w:tc>
        <w:tc>
          <w:tcPr>
            <w:tcW w:w="2381" w:type="dxa"/>
            <w:vAlign w:val="center"/>
          </w:tcPr>
          <w:p>
            <w:pPr>
              <w:pStyle w:val="13"/>
              <w:rPr>
                <w:color w:val="auto"/>
              </w:rPr>
            </w:pPr>
            <w:r>
              <w:rPr>
                <w:color w:val="auto"/>
              </w:rPr>
              <w:t>4</w:t>
            </w:r>
          </w:p>
        </w:tc>
        <w:tc>
          <w:tcPr>
            <w:tcW w:w="2381" w:type="dxa"/>
            <w:vAlign w:val="center"/>
          </w:tcPr>
          <w:p>
            <w:pPr>
              <w:pStyle w:val="13"/>
              <w:rPr>
                <w:color w:val="auto"/>
              </w:rPr>
            </w:pPr>
            <w:r>
              <w:rPr>
                <w:color w:val="auto"/>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color w:val="auto"/>
              </w:rPr>
            </w:pPr>
            <w:r>
              <w:rPr>
                <w:color w:val="auto"/>
              </w:rPr>
              <w:t>1</w:t>
            </w:r>
          </w:p>
        </w:tc>
        <w:tc>
          <w:tcPr>
            <w:tcW w:w="3798" w:type="dxa"/>
            <w:vAlign w:val="center"/>
          </w:tcPr>
          <w:p>
            <w:pPr>
              <w:pStyle w:val="17"/>
              <w:rPr>
                <w:color w:val="auto"/>
              </w:rPr>
            </w:pPr>
            <w:r>
              <w:rPr>
                <w:color w:val="auto"/>
              </w:rPr>
              <w:t>合计</w:t>
            </w:r>
          </w:p>
        </w:tc>
        <w:tc>
          <w:tcPr>
            <w:tcW w:w="2381" w:type="dxa"/>
            <w:vAlign w:val="center"/>
          </w:tcPr>
          <w:p>
            <w:pPr>
              <w:pStyle w:val="18"/>
              <w:rPr>
                <w:rFonts w:hint="default" w:eastAsia="方正书宋_GBK"/>
                <w:color w:val="auto"/>
                <w:lang w:val="en-US" w:eastAsia="zh-CN"/>
              </w:rPr>
            </w:pPr>
            <w:r>
              <w:rPr>
                <w:rFonts w:hint="eastAsia"/>
                <w:color w:val="auto"/>
                <w:lang w:val="en-US" w:eastAsia="zh-CN"/>
              </w:rPr>
              <w:t>38.50</w:t>
            </w:r>
          </w:p>
        </w:tc>
        <w:tc>
          <w:tcPr>
            <w:tcW w:w="2381" w:type="dxa"/>
            <w:vAlign w:val="center"/>
          </w:tcPr>
          <w:p>
            <w:pPr>
              <w:pStyle w:val="18"/>
              <w:rPr>
                <w:rFonts w:hint="default" w:eastAsia="方正书宋_GBK"/>
                <w:color w:val="auto"/>
                <w:lang w:val="en-US" w:eastAsia="zh-CN"/>
              </w:rPr>
            </w:pPr>
            <w:r>
              <w:rPr>
                <w:rFonts w:hint="eastAsia"/>
                <w:color w:val="auto"/>
                <w:lang w:val="en-US" w:eastAsia="zh-CN"/>
              </w:rPr>
              <w:t>38.50</w:t>
            </w:r>
          </w:p>
        </w:tc>
        <w:tc>
          <w:tcPr>
            <w:tcW w:w="2381" w:type="dxa"/>
            <w:vAlign w:val="center"/>
          </w:tcPr>
          <w:p>
            <w:pPr>
              <w:pStyle w:val="18"/>
              <w:rPr>
                <w:color w:val="auto"/>
              </w:rPr>
            </w:pPr>
          </w:p>
        </w:tc>
        <w:tc>
          <w:tcPr>
            <w:tcW w:w="2381" w:type="dxa"/>
            <w:vAlign w:val="center"/>
          </w:tcPr>
          <w:p>
            <w:pPr>
              <w:pStyle w:val="18"/>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color w:val="auto"/>
              </w:rPr>
            </w:pPr>
            <w:r>
              <w:rPr>
                <w:color w:val="auto"/>
              </w:rPr>
              <w:t>2</w:t>
            </w:r>
          </w:p>
        </w:tc>
        <w:tc>
          <w:tcPr>
            <w:tcW w:w="3798" w:type="dxa"/>
            <w:vAlign w:val="center"/>
          </w:tcPr>
          <w:p>
            <w:pPr>
              <w:pStyle w:val="15"/>
              <w:rPr>
                <w:color w:val="auto"/>
              </w:rPr>
            </w:pPr>
            <w:r>
              <w:rPr>
                <w:color w:val="auto"/>
              </w:rPr>
              <w:t>一、因公出国（境）费</w:t>
            </w:r>
          </w:p>
        </w:tc>
        <w:tc>
          <w:tcPr>
            <w:tcW w:w="2381" w:type="dxa"/>
            <w:vAlign w:val="center"/>
          </w:tcPr>
          <w:p>
            <w:pPr>
              <w:pStyle w:val="14"/>
              <w:rPr>
                <w:color w:val="auto"/>
              </w:rPr>
            </w:pPr>
          </w:p>
        </w:tc>
        <w:tc>
          <w:tcPr>
            <w:tcW w:w="2381" w:type="dxa"/>
            <w:vAlign w:val="center"/>
          </w:tcPr>
          <w:p>
            <w:pPr>
              <w:pStyle w:val="14"/>
              <w:rPr>
                <w:color w:val="auto"/>
              </w:rPr>
            </w:pPr>
          </w:p>
        </w:tc>
        <w:tc>
          <w:tcPr>
            <w:tcW w:w="2381" w:type="dxa"/>
            <w:vAlign w:val="center"/>
          </w:tcPr>
          <w:p>
            <w:pPr>
              <w:pStyle w:val="14"/>
              <w:rPr>
                <w:color w:val="auto"/>
              </w:rPr>
            </w:pPr>
          </w:p>
        </w:tc>
        <w:tc>
          <w:tcPr>
            <w:tcW w:w="238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color w:val="auto"/>
              </w:rPr>
            </w:pPr>
            <w:r>
              <w:rPr>
                <w:color w:val="auto"/>
              </w:rPr>
              <w:t>3</w:t>
            </w:r>
          </w:p>
        </w:tc>
        <w:tc>
          <w:tcPr>
            <w:tcW w:w="3798" w:type="dxa"/>
            <w:vAlign w:val="center"/>
          </w:tcPr>
          <w:p>
            <w:pPr>
              <w:pStyle w:val="15"/>
              <w:rPr>
                <w:color w:val="auto"/>
              </w:rPr>
            </w:pPr>
            <w:r>
              <w:rPr>
                <w:color w:val="auto"/>
              </w:rPr>
              <w:t>二、公务用车购置及运维费</w:t>
            </w:r>
          </w:p>
        </w:tc>
        <w:tc>
          <w:tcPr>
            <w:tcW w:w="2381" w:type="dxa"/>
            <w:vAlign w:val="center"/>
          </w:tcPr>
          <w:p>
            <w:pPr>
              <w:pStyle w:val="14"/>
              <w:rPr>
                <w:rFonts w:hint="default" w:eastAsia="方正书宋_GBK"/>
                <w:color w:val="auto"/>
                <w:lang w:val="en-US" w:eastAsia="zh-CN"/>
              </w:rPr>
            </w:pPr>
            <w:r>
              <w:rPr>
                <w:rFonts w:hint="eastAsia"/>
                <w:color w:val="auto"/>
                <w:lang w:val="en-US" w:eastAsia="zh-CN"/>
              </w:rPr>
              <w:t>30.50</w:t>
            </w:r>
          </w:p>
        </w:tc>
        <w:tc>
          <w:tcPr>
            <w:tcW w:w="2381" w:type="dxa"/>
            <w:vAlign w:val="center"/>
          </w:tcPr>
          <w:p>
            <w:pPr>
              <w:pStyle w:val="14"/>
              <w:rPr>
                <w:rFonts w:hint="default" w:eastAsia="方正书宋_GBK"/>
                <w:color w:val="auto"/>
                <w:lang w:val="en-US" w:eastAsia="zh-CN"/>
              </w:rPr>
            </w:pPr>
            <w:r>
              <w:rPr>
                <w:rFonts w:hint="eastAsia"/>
                <w:color w:val="auto"/>
                <w:lang w:val="en-US" w:eastAsia="zh-CN"/>
              </w:rPr>
              <w:t>30.50</w:t>
            </w:r>
          </w:p>
        </w:tc>
        <w:tc>
          <w:tcPr>
            <w:tcW w:w="2381" w:type="dxa"/>
            <w:vAlign w:val="center"/>
          </w:tcPr>
          <w:p>
            <w:pPr>
              <w:pStyle w:val="14"/>
              <w:rPr>
                <w:color w:val="auto"/>
              </w:rPr>
            </w:pPr>
          </w:p>
        </w:tc>
        <w:tc>
          <w:tcPr>
            <w:tcW w:w="238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color w:val="auto"/>
              </w:rPr>
            </w:pPr>
            <w:r>
              <w:rPr>
                <w:color w:val="auto"/>
              </w:rPr>
              <w:t>4</w:t>
            </w:r>
          </w:p>
        </w:tc>
        <w:tc>
          <w:tcPr>
            <w:tcW w:w="3798" w:type="dxa"/>
            <w:vAlign w:val="center"/>
          </w:tcPr>
          <w:p>
            <w:pPr>
              <w:pStyle w:val="15"/>
              <w:rPr>
                <w:color w:val="auto"/>
              </w:rPr>
            </w:pPr>
            <w:r>
              <w:rPr>
                <w:color w:val="auto"/>
              </w:rPr>
              <w:t xml:space="preserve">    其中：公务用车购置费</w:t>
            </w:r>
          </w:p>
        </w:tc>
        <w:tc>
          <w:tcPr>
            <w:tcW w:w="2381" w:type="dxa"/>
            <w:vAlign w:val="center"/>
          </w:tcPr>
          <w:p>
            <w:pPr>
              <w:pStyle w:val="14"/>
              <w:rPr>
                <w:color w:val="auto"/>
              </w:rPr>
            </w:pPr>
          </w:p>
        </w:tc>
        <w:tc>
          <w:tcPr>
            <w:tcW w:w="2381" w:type="dxa"/>
            <w:vAlign w:val="center"/>
          </w:tcPr>
          <w:p>
            <w:pPr>
              <w:pStyle w:val="14"/>
              <w:rPr>
                <w:color w:val="auto"/>
              </w:rPr>
            </w:pPr>
          </w:p>
        </w:tc>
        <w:tc>
          <w:tcPr>
            <w:tcW w:w="2381" w:type="dxa"/>
            <w:vAlign w:val="center"/>
          </w:tcPr>
          <w:p>
            <w:pPr>
              <w:pStyle w:val="14"/>
              <w:rPr>
                <w:color w:val="auto"/>
              </w:rPr>
            </w:pPr>
          </w:p>
        </w:tc>
        <w:tc>
          <w:tcPr>
            <w:tcW w:w="238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color w:val="auto"/>
              </w:rPr>
            </w:pPr>
            <w:r>
              <w:rPr>
                <w:color w:val="auto"/>
              </w:rPr>
              <w:t>5</w:t>
            </w:r>
          </w:p>
        </w:tc>
        <w:tc>
          <w:tcPr>
            <w:tcW w:w="3798" w:type="dxa"/>
            <w:vAlign w:val="center"/>
          </w:tcPr>
          <w:p>
            <w:pPr>
              <w:pStyle w:val="15"/>
              <w:rPr>
                <w:color w:val="auto"/>
              </w:rPr>
            </w:pPr>
            <w:r>
              <w:rPr>
                <w:color w:val="auto"/>
              </w:rPr>
              <w:t xml:space="preserve">          公务用车运行维护费</w:t>
            </w:r>
          </w:p>
        </w:tc>
        <w:tc>
          <w:tcPr>
            <w:tcW w:w="2381" w:type="dxa"/>
            <w:vAlign w:val="center"/>
          </w:tcPr>
          <w:p>
            <w:pPr>
              <w:pStyle w:val="14"/>
              <w:rPr>
                <w:rFonts w:hint="default" w:eastAsia="方正书宋_GBK"/>
                <w:color w:val="auto"/>
                <w:lang w:val="en-US" w:eastAsia="zh-CN"/>
              </w:rPr>
            </w:pPr>
            <w:r>
              <w:rPr>
                <w:rFonts w:hint="eastAsia"/>
                <w:color w:val="auto"/>
                <w:lang w:val="en-US" w:eastAsia="zh-CN"/>
              </w:rPr>
              <w:t>30.50</w:t>
            </w:r>
          </w:p>
        </w:tc>
        <w:tc>
          <w:tcPr>
            <w:tcW w:w="2381" w:type="dxa"/>
            <w:vAlign w:val="center"/>
          </w:tcPr>
          <w:p>
            <w:pPr>
              <w:pStyle w:val="14"/>
              <w:rPr>
                <w:rFonts w:hint="default" w:eastAsia="方正书宋_GBK"/>
                <w:color w:val="auto"/>
                <w:lang w:val="en-US" w:eastAsia="zh-CN"/>
              </w:rPr>
            </w:pPr>
            <w:r>
              <w:rPr>
                <w:rFonts w:hint="eastAsia"/>
                <w:color w:val="auto"/>
                <w:lang w:val="en-US" w:eastAsia="zh-CN"/>
              </w:rPr>
              <w:t>30.50</w:t>
            </w:r>
          </w:p>
        </w:tc>
        <w:tc>
          <w:tcPr>
            <w:tcW w:w="2381" w:type="dxa"/>
            <w:vAlign w:val="center"/>
          </w:tcPr>
          <w:p>
            <w:pPr>
              <w:pStyle w:val="14"/>
              <w:rPr>
                <w:color w:val="auto"/>
              </w:rPr>
            </w:pPr>
          </w:p>
        </w:tc>
        <w:tc>
          <w:tcPr>
            <w:tcW w:w="2381"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color w:val="auto"/>
              </w:rPr>
            </w:pPr>
            <w:r>
              <w:rPr>
                <w:color w:val="auto"/>
              </w:rPr>
              <w:t>6</w:t>
            </w:r>
          </w:p>
        </w:tc>
        <w:tc>
          <w:tcPr>
            <w:tcW w:w="3798" w:type="dxa"/>
            <w:vAlign w:val="center"/>
          </w:tcPr>
          <w:p>
            <w:pPr>
              <w:pStyle w:val="15"/>
              <w:rPr>
                <w:color w:val="auto"/>
              </w:rPr>
            </w:pPr>
            <w:r>
              <w:rPr>
                <w:color w:val="auto"/>
              </w:rPr>
              <w:t>三、公务接待费</w:t>
            </w:r>
          </w:p>
        </w:tc>
        <w:tc>
          <w:tcPr>
            <w:tcW w:w="2381" w:type="dxa"/>
            <w:vAlign w:val="center"/>
          </w:tcPr>
          <w:p>
            <w:pPr>
              <w:pStyle w:val="14"/>
              <w:rPr>
                <w:rFonts w:hint="default" w:eastAsia="方正书宋_GBK"/>
                <w:color w:val="auto"/>
                <w:lang w:val="en-US" w:eastAsia="zh-CN"/>
              </w:rPr>
            </w:pPr>
            <w:r>
              <w:rPr>
                <w:rFonts w:hint="eastAsia"/>
                <w:color w:val="auto"/>
                <w:lang w:val="en-US" w:eastAsia="zh-CN"/>
              </w:rPr>
              <w:t>8.00</w:t>
            </w:r>
          </w:p>
        </w:tc>
        <w:tc>
          <w:tcPr>
            <w:tcW w:w="2381" w:type="dxa"/>
            <w:vAlign w:val="center"/>
          </w:tcPr>
          <w:p>
            <w:pPr>
              <w:pStyle w:val="14"/>
              <w:rPr>
                <w:rFonts w:hint="default" w:eastAsia="方正书宋_GBK"/>
                <w:color w:val="auto"/>
                <w:lang w:val="en-US" w:eastAsia="zh-CN"/>
              </w:rPr>
            </w:pPr>
            <w:r>
              <w:rPr>
                <w:rFonts w:hint="eastAsia"/>
                <w:color w:val="auto"/>
                <w:lang w:val="en-US" w:eastAsia="zh-CN"/>
              </w:rPr>
              <w:t>8.00</w:t>
            </w:r>
          </w:p>
        </w:tc>
        <w:tc>
          <w:tcPr>
            <w:tcW w:w="2381" w:type="dxa"/>
            <w:vAlign w:val="center"/>
          </w:tcPr>
          <w:p>
            <w:pPr>
              <w:pStyle w:val="14"/>
              <w:rPr>
                <w:rFonts w:hint="default"/>
                <w:color w:val="auto"/>
                <w:lang w:val="en-US"/>
              </w:rPr>
            </w:pPr>
          </w:p>
        </w:tc>
        <w:tc>
          <w:tcPr>
            <w:tcW w:w="2381" w:type="dxa"/>
            <w:vAlign w:val="center"/>
          </w:tcPr>
          <w:p>
            <w:pPr>
              <w:pStyle w:val="14"/>
              <w:rPr>
                <w:color w:val="auto"/>
              </w:rPr>
            </w:pPr>
          </w:p>
        </w:tc>
      </w:tr>
    </w:tbl>
    <w:p>
      <w:pPr>
        <w:rPr>
          <w:color w:val="auto"/>
        </w:rPr>
        <w:sectPr>
          <w:pgSz w:w="16840" w:h="11900" w:orient="landscape"/>
          <w:pgMar w:top="1361" w:right="1020" w:bottom="1361" w:left="1020" w:header="720" w:footer="720" w:gutter="0"/>
          <w:cols w:space="720" w:num="1"/>
        </w:sectPr>
      </w:pPr>
    </w:p>
    <w:p>
      <w:pPr>
        <w:jc w:val="center"/>
        <w:outlineLvl w:val="4"/>
        <w:rPr>
          <w:color w:val="auto"/>
        </w:rPr>
      </w:pPr>
      <w:r>
        <w:rPr>
          <w:rFonts w:hint="eastAsia" w:ascii="方正小标宋_GBK" w:hAnsi="方正小标宋_GBK" w:eastAsia="方正小标宋_GBK" w:cs="方正小标宋_GBK"/>
          <w:color w:val="auto"/>
          <w:sz w:val="44"/>
          <w:lang w:eastAsia="zh-CN"/>
        </w:rPr>
        <w:t>涞源县交通运输局</w:t>
      </w:r>
      <w:r>
        <w:rPr>
          <w:rFonts w:ascii="方正小标宋_GBK" w:hAnsi="方正小标宋_GBK" w:eastAsia="方正小标宋_GBK" w:cs="方正小标宋_GBK"/>
          <w:color w:val="auto"/>
          <w:sz w:val="44"/>
        </w:rPr>
        <w:t>2023年单位预算信息公开情况说明</w:t>
      </w:r>
    </w:p>
    <w:p>
      <w:pPr>
        <w:spacing w:line="500" w:lineRule="exact"/>
        <w:ind w:firstLine="560"/>
        <w:rPr>
          <w:color w:val="auto"/>
        </w:rPr>
      </w:pPr>
      <w:r>
        <w:rPr>
          <w:rFonts w:eastAsia="方正仿宋_GBK"/>
          <w:color w:val="auto"/>
          <w:sz w:val="28"/>
        </w:rPr>
        <w:t>按照《预算法》、《地方预决算公开操作规程》和《关于进一步推进预算公开工作的实施意见》规定，现将</w:t>
      </w:r>
      <w:r>
        <w:rPr>
          <w:rFonts w:hint="eastAsia" w:eastAsia="方正仿宋_GBK"/>
          <w:color w:val="auto"/>
          <w:sz w:val="28"/>
          <w:lang w:eastAsia="zh-CN"/>
        </w:rPr>
        <w:t>涞源县交通运输局</w:t>
      </w:r>
      <w:r>
        <w:rPr>
          <w:rFonts w:eastAsia="方正仿宋_GBK"/>
          <w:color w:val="auto"/>
          <w:sz w:val="28"/>
        </w:rPr>
        <w:t>2023年单位预算公开如下：</w:t>
      </w:r>
    </w:p>
    <w:p>
      <w:pPr>
        <w:spacing w:before="10" w:after="10"/>
        <w:ind w:firstLine="640"/>
        <w:outlineLvl w:val="5"/>
        <w:rPr>
          <w:color w:val="auto"/>
        </w:rPr>
      </w:pPr>
      <w:r>
        <w:rPr>
          <w:rFonts w:ascii="黑体" w:hAnsi="黑体" w:eastAsia="黑体" w:cs="黑体"/>
          <w:color w:val="auto"/>
          <w:sz w:val="32"/>
        </w:rPr>
        <w:t>一、单位职责及机构设置情况</w:t>
      </w:r>
    </w:p>
    <w:p>
      <w:pPr>
        <w:spacing w:before="0" w:after="0" w:line="240" w:lineRule="auto"/>
        <w:ind w:firstLine="640"/>
        <w:jc w:val="left"/>
        <w:outlineLvl w:val="9"/>
        <w:rPr>
          <w:color w:val="auto"/>
        </w:rPr>
      </w:pPr>
      <w:r>
        <w:rPr>
          <w:rFonts w:ascii="方正楷体_GBK" w:hAnsi="方正楷体_GBK" w:eastAsia="方正楷体_GBK" w:cs="方正楷体_GBK"/>
          <w:b/>
          <w:color w:val="auto"/>
          <w:sz w:val="32"/>
        </w:rPr>
        <w:t>部门职责：</w:t>
      </w:r>
    </w:p>
    <w:p>
      <w:pPr>
        <w:pStyle w:val="20"/>
        <w:rPr>
          <w:color w:val="auto"/>
        </w:rPr>
      </w:pPr>
      <w:r>
        <w:rPr>
          <w:color w:val="auto"/>
        </w:rPr>
        <w:t>（一）贯彻落实党中央和省委、市委、县委关于交通运输工作的方针政策和决策部署，坚持和加强党对交通运输工作的集中统一领导。主要职责是：</w:t>
      </w:r>
    </w:p>
    <w:p>
      <w:pPr>
        <w:pStyle w:val="20"/>
        <w:rPr>
          <w:color w:val="auto"/>
        </w:rPr>
      </w:pPr>
      <w:r>
        <w:rPr>
          <w:color w:val="auto"/>
        </w:rPr>
        <w:t>（二）贯彻执行国家、省、市有关交通运输行业发展的法律、法规、规章；承担国防交通备战工作。</w:t>
      </w:r>
    </w:p>
    <w:p>
      <w:pPr>
        <w:pStyle w:val="20"/>
        <w:rPr>
          <w:color w:val="auto"/>
        </w:rPr>
      </w:pPr>
      <w:r>
        <w:rPr>
          <w:color w:val="auto"/>
        </w:rPr>
        <w:t>（三）组织拟订全县公路、水路、城市客运中长期发展规划及交通基础设施、公路、水路城市客运等专项规划并监督实施。</w:t>
      </w:r>
    </w:p>
    <w:p>
      <w:pPr>
        <w:pStyle w:val="20"/>
        <w:rPr>
          <w:color w:val="auto"/>
        </w:rPr>
      </w:pPr>
      <w:r>
        <w:rPr>
          <w:color w:val="auto"/>
        </w:rPr>
        <w:t>（四）贯彻执行国家、省、市有关物流业发展的法律、法规、政策和技术标准；参与拟订全县物流业发展规划，拟订有关政策和标准并监督实施。</w:t>
      </w:r>
    </w:p>
    <w:p>
      <w:pPr>
        <w:pStyle w:val="20"/>
        <w:rPr>
          <w:color w:val="auto"/>
        </w:rPr>
      </w:pPr>
      <w:r>
        <w:rPr>
          <w:color w:val="auto"/>
        </w:rPr>
        <w:t>（五）负责路政执法、运政执法工作，依法维护路产路权不受侵害，保障县境内各级公路畅通无阻。</w:t>
      </w:r>
    </w:p>
    <w:p>
      <w:pPr>
        <w:pStyle w:val="20"/>
        <w:rPr>
          <w:color w:val="auto"/>
        </w:rPr>
      </w:pPr>
      <w:r>
        <w:rPr>
          <w:color w:val="auto"/>
        </w:rPr>
        <w:t>（</w:t>
      </w:r>
      <w:r>
        <w:rPr>
          <w:rFonts w:hint="eastAsia"/>
          <w:color w:val="auto"/>
          <w:lang w:eastAsia="zh-CN"/>
        </w:rPr>
        <w:t>六</w:t>
      </w:r>
      <w:r>
        <w:rPr>
          <w:color w:val="auto"/>
        </w:rPr>
        <w:t>）负责全县交通运输行业依法行政工作，组织、指导、协调并监督交通运输行业行政执法、行政诉讼及有关行政复议工作。</w:t>
      </w:r>
    </w:p>
    <w:p>
      <w:pPr>
        <w:pStyle w:val="20"/>
        <w:rPr>
          <w:color w:val="auto"/>
        </w:rPr>
      </w:pPr>
      <w:r>
        <w:rPr>
          <w:color w:val="auto"/>
        </w:rPr>
        <w:t>（</w:t>
      </w:r>
      <w:r>
        <w:rPr>
          <w:rFonts w:hint="eastAsia"/>
          <w:color w:val="auto"/>
          <w:lang w:eastAsia="zh-CN"/>
        </w:rPr>
        <w:t>七</w:t>
      </w:r>
      <w:r>
        <w:rPr>
          <w:color w:val="auto"/>
        </w:rPr>
        <w:t>）负责运输市场、运输服务、车辆维修、运输场站、搬运装卸、驾驶员培训、出租车及现代化物流业管理。</w:t>
      </w:r>
    </w:p>
    <w:p>
      <w:pPr>
        <w:pStyle w:val="20"/>
        <w:rPr>
          <w:color w:val="auto"/>
        </w:rPr>
      </w:pPr>
      <w:r>
        <w:rPr>
          <w:color w:val="auto"/>
        </w:rPr>
        <w:t>（</w:t>
      </w:r>
      <w:r>
        <w:rPr>
          <w:rFonts w:hint="eastAsia"/>
          <w:color w:val="auto"/>
          <w:lang w:eastAsia="zh-CN"/>
        </w:rPr>
        <w:t>八</w:t>
      </w:r>
      <w:r>
        <w:rPr>
          <w:color w:val="auto"/>
        </w:rPr>
        <w:t>）承担全县公路建设市场监管责任。拟订公路建设相关政策、制度和技术标准并监督实施；负责公路及其设施的建设和运输市场监管工作。</w:t>
      </w:r>
    </w:p>
    <w:p>
      <w:pPr>
        <w:pStyle w:val="20"/>
        <w:rPr>
          <w:color w:val="auto"/>
        </w:rPr>
      </w:pPr>
      <w:r>
        <w:rPr>
          <w:color w:val="auto"/>
        </w:rPr>
        <w:t>（</w:t>
      </w:r>
      <w:r>
        <w:rPr>
          <w:rFonts w:hint="eastAsia"/>
          <w:color w:val="auto"/>
          <w:lang w:eastAsia="zh-CN"/>
        </w:rPr>
        <w:t>九</w:t>
      </w:r>
      <w:r>
        <w:rPr>
          <w:color w:val="auto"/>
        </w:rPr>
        <w:t>）负责城市客运行业管理；负责城市公共交通基础设施建设和运输市场监管工作。</w:t>
      </w:r>
    </w:p>
    <w:p>
      <w:pPr>
        <w:pStyle w:val="20"/>
        <w:rPr>
          <w:color w:val="auto"/>
        </w:rPr>
      </w:pPr>
      <w:r>
        <w:rPr>
          <w:color w:val="auto"/>
        </w:rPr>
        <w:t>（</w:t>
      </w:r>
      <w:r>
        <w:rPr>
          <w:rFonts w:hint="eastAsia"/>
          <w:color w:val="auto"/>
          <w:lang w:eastAsia="zh-CN"/>
        </w:rPr>
        <w:t>十</w:t>
      </w:r>
      <w:r>
        <w:rPr>
          <w:color w:val="auto"/>
        </w:rPr>
        <w:t>）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pPr>
        <w:pStyle w:val="20"/>
        <w:rPr>
          <w:color w:val="auto"/>
        </w:rPr>
      </w:pPr>
      <w:r>
        <w:rPr>
          <w:color w:val="auto"/>
        </w:rPr>
        <w:t>（</w:t>
      </w:r>
      <w:r>
        <w:rPr>
          <w:rFonts w:hint="eastAsia"/>
          <w:color w:val="auto"/>
          <w:lang w:eastAsia="zh-CN"/>
        </w:rPr>
        <w:t>十一</w:t>
      </w:r>
      <w:r>
        <w:rPr>
          <w:color w:val="auto"/>
        </w:rPr>
        <w:t>）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pPr>
        <w:pStyle w:val="20"/>
        <w:rPr>
          <w:color w:val="auto"/>
        </w:rPr>
      </w:pPr>
      <w:r>
        <w:rPr>
          <w:color w:val="auto"/>
        </w:rPr>
        <w:t>（</w:t>
      </w:r>
      <w:r>
        <w:rPr>
          <w:rFonts w:hint="eastAsia"/>
          <w:color w:val="auto"/>
          <w:lang w:eastAsia="zh-CN"/>
        </w:rPr>
        <w:t>十二</w:t>
      </w:r>
      <w:r>
        <w:rPr>
          <w:color w:val="auto"/>
        </w:rPr>
        <w:t>）负责全县交通运输行业精神文明建设、职工队伍建设及思想政治工作；围绕全县交通运输工作中心，对重大决策、重要工作部署及重点交通运输建设项目的实施进行督查督办。</w:t>
      </w:r>
    </w:p>
    <w:p>
      <w:pPr>
        <w:pStyle w:val="20"/>
        <w:rPr>
          <w:color w:val="auto"/>
        </w:rPr>
      </w:pPr>
      <w:r>
        <w:rPr>
          <w:color w:val="auto"/>
        </w:rPr>
        <w:t>（</w:t>
      </w:r>
      <w:r>
        <w:rPr>
          <w:rFonts w:hint="eastAsia"/>
          <w:color w:val="auto"/>
          <w:lang w:eastAsia="zh-CN"/>
        </w:rPr>
        <w:t>十三</w:t>
      </w:r>
      <w:r>
        <w:rPr>
          <w:color w:val="auto"/>
        </w:rPr>
        <w:t>）负责全县交通运输行业信息化建设，监测分析运行情况，发布相关信息；负责全县交通运输行业环境保护和节能减排工作。</w:t>
      </w:r>
    </w:p>
    <w:p>
      <w:pPr>
        <w:pStyle w:val="20"/>
        <w:rPr>
          <w:color w:val="auto"/>
        </w:rPr>
      </w:pPr>
      <w:r>
        <w:rPr>
          <w:color w:val="auto"/>
        </w:rPr>
        <w:t>（</w:t>
      </w:r>
      <w:r>
        <w:rPr>
          <w:rFonts w:hint="eastAsia"/>
          <w:color w:val="auto"/>
          <w:lang w:eastAsia="zh-CN"/>
        </w:rPr>
        <w:t>十四</w:t>
      </w:r>
      <w:r>
        <w:rPr>
          <w:color w:val="auto"/>
        </w:rP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pPr>
        <w:pStyle w:val="20"/>
        <w:rPr>
          <w:color w:val="auto"/>
        </w:rPr>
      </w:pPr>
      <w:r>
        <w:rPr>
          <w:color w:val="auto"/>
        </w:rPr>
        <w:t>（</w:t>
      </w:r>
      <w:r>
        <w:rPr>
          <w:rFonts w:hint="eastAsia"/>
          <w:color w:val="auto"/>
          <w:lang w:eastAsia="zh-CN"/>
        </w:rPr>
        <w:t>十五</w:t>
      </w:r>
      <w:r>
        <w:rPr>
          <w:color w:val="auto"/>
        </w:rPr>
        <w:t>）负责交通运输系统财务管理和会计核算工作；负责交通运输行业养护资金、工程建设资金、预算外资金以及其他专项资金的筹集、管理、下拨、使用和监督工作；负责全县交通运输行业科技教育工作。</w:t>
      </w:r>
    </w:p>
    <w:p>
      <w:pPr>
        <w:pStyle w:val="20"/>
        <w:rPr>
          <w:color w:val="auto"/>
        </w:rPr>
      </w:pPr>
      <w:r>
        <w:rPr>
          <w:color w:val="auto"/>
        </w:rPr>
        <w:t>（</w:t>
      </w:r>
      <w:r>
        <w:rPr>
          <w:rFonts w:hint="eastAsia"/>
          <w:color w:val="auto"/>
          <w:lang w:eastAsia="zh-CN"/>
        </w:rPr>
        <w:t>十六</w:t>
      </w:r>
      <w:r>
        <w:rPr>
          <w:color w:val="auto"/>
        </w:rPr>
        <w:t>）完成县委、县政府交办的其他任务。</w:t>
      </w:r>
    </w:p>
    <w:p>
      <w:pPr>
        <w:ind w:firstLine="640" w:firstLineChars="200"/>
        <w:rPr>
          <w:color w:val="auto"/>
        </w:rPr>
      </w:pPr>
      <w:r>
        <w:rPr>
          <w:rFonts w:ascii="方正楷体_GBK" w:hAnsi="方正楷体_GBK" w:eastAsia="方正楷体_GBK" w:cs="方正楷体_GBK"/>
          <w:b/>
          <w:color w:val="auto"/>
          <w:sz w:val="32"/>
        </w:rPr>
        <w:t>机构设置：</w:t>
      </w:r>
    </w:p>
    <w:p>
      <w:pPr>
        <w:jc w:val="center"/>
        <w:rPr>
          <w:color w:val="auto"/>
        </w:rPr>
      </w:pPr>
      <w:r>
        <w:rPr>
          <w:rFonts w:hint="eastAsia" w:ascii="方正小标宋_GBK" w:hAnsi="方正小标宋_GBK" w:eastAsia="方正小标宋_GBK" w:cs="方正小标宋_GBK"/>
          <w:color w:val="auto"/>
          <w:sz w:val="32"/>
          <w:lang w:eastAsia="zh-CN"/>
        </w:rPr>
        <w:t>部门</w:t>
      </w:r>
      <w:r>
        <w:rPr>
          <w:rFonts w:ascii="方正小标宋_GBK" w:hAnsi="方正小标宋_GBK" w:eastAsia="方正小标宋_GBK" w:cs="方正小标宋_GBK"/>
          <w:color w:val="auto"/>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rPr>
                <w:color w:val="auto"/>
              </w:rPr>
            </w:pPr>
            <w:r>
              <w:rPr>
                <w:color w:val="auto"/>
              </w:rPr>
              <w:t>单位名称</w:t>
            </w:r>
          </w:p>
        </w:tc>
        <w:tc>
          <w:tcPr>
            <w:tcW w:w="1843" w:type="dxa"/>
            <w:vAlign w:val="center"/>
          </w:tcPr>
          <w:p>
            <w:pPr>
              <w:pStyle w:val="13"/>
              <w:rPr>
                <w:color w:val="auto"/>
              </w:rPr>
            </w:pPr>
            <w:r>
              <w:rPr>
                <w:color w:val="auto"/>
              </w:rPr>
              <w:t>单位性质</w:t>
            </w:r>
          </w:p>
        </w:tc>
        <w:tc>
          <w:tcPr>
            <w:tcW w:w="2126" w:type="dxa"/>
            <w:vAlign w:val="center"/>
          </w:tcPr>
          <w:p>
            <w:pPr>
              <w:pStyle w:val="13"/>
              <w:rPr>
                <w:color w:val="auto"/>
              </w:rPr>
            </w:pPr>
            <w:r>
              <w:rPr>
                <w:color w:val="auto"/>
              </w:rPr>
              <w:t>单位规格</w:t>
            </w:r>
          </w:p>
        </w:tc>
        <w:tc>
          <w:tcPr>
            <w:tcW w:w="3827" w:type="dxa"/>
            <w:vAlign w:val="center"/>
          </w:tcPr>
          <w:p>
            <w:pPr>
              <w:pStyle w:val="13"/>
              <w:rPr>
                <w:color w:val="auto"/>
              </w:rPr>
            </w:pPr>
            <w:r>
              <w:rPr>
                <w:color w:val="auto"/>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 xml:space="preserve">涞源县交通运输局本级                                      </w:t>
            </w:r>
          </w:p>
        </w:tc>
        <w:tc>
          <w:tcPr>
            <w:tcW w:w="1843"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行政</w:t>
            </w:r>
          </w:p>
        </w:tc>
        <w:tc>
          <w:tcPr>
            <w:tcW w:w="2126"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正科级</w:t>
            </w:r>
          </w:p>
        </w:tc>
        <w:tc>
          <w:tcPr>
            <w:tcW w:w="3827"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涞源县交通运输局道路运输综合服务站</w:t>
            </w:r>
          </w:p>
        </w:tc>
        <w:tc>
          <w:tcPr>
            <w:tcW w:w="1843"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事业</w:t>
            </w:r>
          </w:p>
        </w:tc>
        <w:tc>
          <w:tcPr>
            <w:tcW w:w="2126"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股级</w:t>
            </w:r>
          </w:p>
        </w:tc>
        <w:tc>
          <w:tcPr>
            <w:tcW w:w="3827"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涞源县交通运输局出租汽车和城市公交服务站</w:t>
            </w:r>
          </w:p>
        </w:tc>
        <w:tc>
          <w:tcPr>
            <w:tcW w:w="1843"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事业</w:t>
            </w:r>
          </w:p>
        </w:tc>
        <w:tc>
          <w:tcPr>
            <w:tcW w:w="2126"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股级</w:t>
            </w:r>
          </w:p>
        </w:tc>
        <w:tc>
          <w:tcPr>
            <w:tcW w:w="3827" w:type="dxa"/>
            <w:vAlign w:val="center"/>
          </w:tcPr>
          <w:p>
            <w:pPr>
              <w:pStyle w:val="16"/>
              <w:rPr>
                <w:rFonts w:ascii="方正书宋_GBK" w:hAnsi="方正书宋_GBK" w:eastAsia="方正书宋_GBK" w:cs="方正书宋_GBK"/>
                <w:color w:val="auto"/>
                <w:sz w:val="21"/>
                <w:szCs w:val="24"/>
                <w:lang w:val="en-US" w:eastAsia="uk-UA" w:bidi="ar-SA"/>
              </w:rPr>
            </w:pPr>
            <w:r>
              <w:rPr>
                <w:color w:val="auto"/>
              </w:rPr>
              <w:t>财政性资金基本保证</w:t>
            </w:r>
          </w:p>
        </w:tc>
      </w:tr>
    </w:tbl>
    <w:p>
      <w:pPr>
        <w:spacing w:before="10" w:after="10"/>
        <w:ind w:firstLine="640"/>
        <w:outlineLvl w:val="5"/>
        <w:rPr>
          <w:color w:val="auto"/>
        </w:rPr>
      </w:pPr>
      <w:r>
        <w:rPr>
          <w:rFonts w:ascii="黑体" w:hAnsi="黑体" w:eastAsia="黑体" w:cs="黑体"/>
          <w:color w:val="auto"/>
          <w:sz w:val="32"/>
        </w:rPr>
        <w:t>二、</w:t>
      </w:r>
      <w:r>
        <w:rPr>
          <w:rFonts w:hint="eastAsia" w:ascii="黑体" w:hAnsi="黑体" w:eastAsia="黑体" w:cs="黑体"/>
          <w:color w:val="auto"/>
          <w:sz w:val="32"/>
          <w:lang w:eastAsia="zh-CN"/>
        </w:rPr>
        <w:t>部门</w:t>
      </w:r>
      <w:r>
        <w:rPr>
          <w:rFonts w:ascii="黑体" w:hAnsi="黑体" w:eastAsia="黑体" w:cs="黑体"/>
          <w:color w:val="auto"/>
          <w:sz w:val="32"/>
        </w:rPr>
        <w:t>预算安排的总体情况</w:t>
      </w:r>
    </w:p>
    <w:p>
      <w:pPr>
        <w:spacing w:line="500" w:lineRule="exact"/>
        <w:ind w:firstLine="560"/>
        <w:rPr>
          <w:color w:val="auto"/>
        </w:rPr>
      </w:pPr>
      <w:r>
        <w:rPr>
          <w:rFonts w:eastAsia="方正仿宋_GBK"/>
          <w:color w:val="auto"/>
          <w:sz w:val="28"/>
        </w:rPr>
        <w:t>按照预算管理有关规定，目前我</w:t>
      </w:r>
      <w:r>
        <w:rPr>
          <w:rFonts w:hint="eastAsia" w:eastAsia="方正仿宋_GBK"/>
          <w:color w:val="auto"/>
          <w:sz w:val="28"/>
          <w:lang w:eastAsia="zh-CN"/>
        </w:rPr>
        <w:t>县部门</w:t>
      </w:r>
      <w:r>
        <w:rPr>
          <w:rFonts w:eastAsia="方正仿宋_GBK"/>
          <w:color w:val="auto"/>
          <w:sz w:val="28"/>
        </w:rPr>
        <w:t>预算的编制实行综合预算管理，即全部收入和支出都反映在预算中。</w:t>
      </w:r>
    </w:p>
    <w:p>
      <w:pPr>
        <w:pStyle w:val="29"/>
        <w:rPr>
          <w:color w:val="auto"/>
        </w:rPr>
      </w:pPr>
      <w:r>
        <w:rPr>
          <w:color w:val="auto"/>
        </w:rPr>
        <w:t>1、收入说明</w:t>
      </w:r>
    </w:p>
    <w:p>
      <w:pPr>
        <w:pStyle w:val="29"/>
        <w:rPr>
          <w:color w:val="auto"/>
        </w:rPr>
      </w:pPr>
      <w:r>
        <w:rPr>
          <w:color w:val="auto"/>
        </w:rPr>
        <w:t>反映本单位当年全部收入。2023年预算收入13336.12万元，其中：一般公共预算收入6713.42万元，,基金预算收入0万元，国有资本经营预算收入0万元，财政专户核拨收入0万元，单位资金收入0万元，上年结转结余6622.70万元。</w:t>
      </w:r>
    </w:p>
    <w:p>
      <w:pPr>
        <w:pStyle w:val="29"/>
        <w:rPr>
          <w:color w:val="auto"/>
        </w:rPr>
      </w:pPr>
      <w:r>
        <w:rPr>
          <w:color w:val="auto"/>
        </w:rPr>
        <w:t>2、支出说明</w:t>
      </w:r>
    </w:p>
    <w:p>
      <w:pPr>
        <w:pStyle w:val="21"/>
        <w:rPr>
          <w:color w:val="auto"/>
        </w:rPr>
      </w:pPr>
      <w:r>
        <w:rPr>
          <w:color w:val="auto"/>
        </w:rPr>
        <w:t>收支预算总表支出栏、基本支出表、项目支出表按经济分类和支出功能分类科目编制，反映涞源县交通运输局</w:t>
      </w:r>
      <w:r>
        <w:rPr>
          <w:rFonts w:hint="eastAsia"/>
          <w:color w:val="auto"/>
          <w:lang w:eastAsia="zh-CN"/>
        </w:rPr>
        <w:t>本</w:t>
      </w:r>
      <w:r>
        <w:rPr>
          <w:color w:val="auto"/>
        </w:rPr>
        <w:t>年度部门预算中支出预算的总体情况。2023年支出预算13336.12万元，其中基本支出4318.79万元，包括人员经费4229.1万元和日常公用经费89.69万元；项目支出9017.33万元，主要为财政拨款支持交通运输发展专项资金等。</w:t>
      </w:r>
    </w:p>
    <w:p>
      <w:pPr>
        <w:pStyle w:val="29"/>
        <w:rPr>
          <w:color w:val="auto"/>
        </w:rPr>
      </w:pPr>
      <w:r>
        <w:rPr>
          <w:color w:val="auto"/>
        </w:rPr>
        <w:t>3、比上年增减情况</w:t>
      </w:r>
    </w:p>
    <w:p>
      <w:pPr>
        <w:pStyle w:val="21"/>
        <w:rPr>
          <w:color w:val="auto"/>
        </w:rPr>
      </w:pPr>
      <w:r>
        <w:rPr>
          <w:color w:val="auto"/>
        </w:rPr>
        <w:t>2023年预算收支安排13336.12万元，较2022年预算增加7944.96万元，其中：基本支出增加1227.63万元，主要为增加人员经费支出；项目支出增加6717.33万元，主要为财政拨款支持交通运输发展专项资金等。</w:t>
      </w:r>
    </w:p>
    <w:p>
      <w:pPr>
        <w:spacing w:before="10" w:after="10"/>
        <w:ind w:firstLine="640"/>
        <w:outlineLvl w:val="5"/>
        <w:rPr>
          <w:color w:val="auto"/>
        </w:rPr>
      </w:pPr>
      <w:r>
        <w:rPr>
          <w:rFonts w:ascii="黑体" w:hAnsi="黑体" w:eastAsia="黑体" w:cs="黑体"/>
          <w:color w:val="auto"/>
          <w:sz w:val="32"/>
        </w:rPr>
        <w:t>三、机关运行经费安排情况</w:t>
      </w:r>
    </w:p>
    <w:p>
      <w:pPr>
        <w:pStyle w:val="22"/>
        <w:rPr>
          <w:color w:val="auto"/>
        </w:rPr>
      </w:pPr>
      <w:r>
        <w:rPr>
          <w:color w:val="auto"/>
        </w:rPr>
        <w:t>2023年，我单位运行经费共计安排51.19万元，主要用于日常维修、办公用房水电费、办公用房取暖费、办公用房物业管理费等日常运行支出。</w:t>
      </w:r>
    </w:p>
    <w:p>
      <w:pPr>
        <w:spacing w:before="10" w:after="10"/>
        <w:ind w:firstLine="640"/>
        <w:outlineLvl w:val="5"/>
        <w:rPr>
          <w:color w:val="auto"/>
        </w:rPr>
      </w:pPr>
      <w:r>
        <w:rPr>
          <w:rFonts w:ascii="黑体" w:hAnsi="黑体" w:eastAsia="黑体" w:cs="黑体"/>
          <w:color w:val="auto"/>
          <w:sz w:val="32"/>
        </w:rPr>
        <w:t>四、财政拨款“三公”经费预算情况及增减变化原因</w:t>
      </w:r>
    </w:p>
    <w:p>
      <w:pPr>
        <w:pStyle w:val="23"/>
        <w:rPr>
          <w:color w:val="auto"/>
        </w:rPr>
      </w:pPr>
      <w:r>
        <w:rPr>
          <w:color w:val="auto"/>
        </w:rPr>
        <w:t>2023年，我单位财政拨款“三公”经费预算安排38.5万元，其中因公出国（境）费0万元；公务用车购置及运维费30.5万元（其中：公务用车购置费为0万元，公务用车运维费30.5万元)；公务接待费8万元。与2022年相比无变化。</w:t>
      </w:r>
    </w:p>
    <w:p>
      <w:pPr>
        <w:spacing w:before="10" w:after="10"/>
        <w:ind w:firstLine="640"/>
        <w:outlineLvl w:val="5"/>
        <w:rPr>
          <w:color w:val="auto"/>
        </w:rPr>
        <w:sectPr>
          <w:pgSz w:w="16840" w:h="11900" w:orient="landscape"/>
          <w:pgMar w:top="1361" w:right="1020" w:bottom="1361" w:left="1020" w:header="720" w:footer="720" w:gutter="0"/>
          <w:cols w:space="720" w:num="1"/>
        </w:sectPr>
      </w:pPr>
      <w:r>
        <w:rPr>
          <w:rFonts w:ascii="黑体" w:hAnsi="黑体" w:eastAsia="黑体" w:cs="黑体"/>
          <w:color w:val="auto"/>
          <w:sz w:val="32"/>
        </w:rPr>
        <w:t>五、预算绩效信息</w:t>
      </w:r>
    </w:p>
    <w:p>
      <w:pPr>
        <w:ind w:firstLine="560"/>
        <w:rPr>
          <w:color w:val="auto"/>
        </w:rPr>
      </w:pPr>
      <w:r>
        <w:rPr>
          <w:rFonts w:ascii="方正仿宋_GBK" w:hAnsi="方正仿宋_GBK" w:eastAsia="方正仿宋_GBK" w:cs="方正仿宋_GBK"/>
          <w:b/>
          <w:color w:val="auto"/>
          <w:sz w:val="28"/>
        </w:rPr>
        <w:t>1、2023年交通局成品油价格税费改革补助人员基数绩效目标表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1.按上级要求，完成各项工作任务。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3"/>
              <w:rPr>
                <w:color w:val="auto"/>
              </w:rPr>
            </w:pPr>
            <w:r>
              <w:rPr>
                <w:color w:val="auto"/>
              </w:rPr>
              <w:t>一级指标</w:t>
            </w:r>
          </w:p>
        </w:tc>
        <w:tc>
          <w:tcPr>
            <w:tcW w:w="2466" w:type="dxa"/>
            <w:vAlign w:val="center"/>
          </w:tcPr>
          <w:p>
            <w:pPr>
              <w:pStyle w:val="13"/>
              <w:rPr>
                <w:color w:val="auto"/>
              </w:rPr>
            </w:pPr>
            <w:r>
              <w:rPr>
                <w:color w:val="auto"/>
              </w:rPr>
              <w:t>二级指标</w:t>
            </w:r>
          </w:p>
        </w:tc>
        <w:tc>
          <w:tcPr>
            <w:tcW w:w="2466" w:type="dxa"/>
            <w:vAlign w:val="center"/>
          </w:tcPr>
          <w:p>
            <w:pPr>
              <w:pStyle w:val="13"/>
              <w:rPr>
                <w:color w:val="auto"/>
              </w:rPr>
            </w:pPr>
            <w:r>
              <w:rPr>
                <w:color w:val="auto"/>
              </w:rPr>
              <w:t>三级指标</w:t>
            </w:r>
          </w:p>
        </w:tc>
        <w:tc>
          <w:tcPr>
            <w:tcW w:w="2466" w:type="dxa"/>
            <w:vAlign w:val="center"/>
          </w:tcPr>
          <w:p>
            <w:pPr>
              <w:pStyle w:val="13"/>
              <w:rPr>
                <w:color w:val="auto"/>
              </w:rPr>
            </w:pPr>
            <w:r>
              <w:rPr>
                <w:color w:val="auto"/>
              </w:rPr>
              <w:t>绩效指标描述</w:t>
            </w:r>
          </w:p>
        </w:tc>
        <w:tc>
          <w:tcPr>
            <w:tcW w:w="2466" w:type="dxa"/>
            <w:vAlign w:val="center"/>
          </w:tcPr>
          <w:p>
            <w:pPr>
              <w:pStyle w:val="13"/>
              <w:rPr>
                <w:color w:val="auto"/>
              </w:rPr>
            </w:pPr>
            <w:r>
              <w:rPr>
                <w:color w:val="auto"/>
              </w:rPr>
              <w:t>指标值</w:t>
            </w:r>
          </w:p>
        </w:tc>
        <w:tc>
          <w:tcPr>
            <w:tcW w:w="2466"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产出指标</w:t>
            </w:r>
          </w:p>
        </w:tc>
        <w:tc>
          <w:tcPr>
            <w:tcW w:w="2466" w:type="dxa"/>
            <w:vAlign w:val="center"/>
          </w:tcPr>
          <w:p>
            <w:pPr>
              <w:pStyle w:val="15"/>
              <w:rPr>
                <w:color w:val="auto"/>
              </w:rPr>
            </w:pPr>
            <w:r>
              <w:rPr>
                <w:color w:val="auto"/>
              </w:rPr>
              <w:t>数量指标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工资发放人员</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工资发放人员数的比例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color w:val="auto"/>
              </w:rPr>
            </w:pPr>
            <w:r>
              <w:rPr>
                <w:color w:val="auto"/>
              </w:rPr>
              <w:t>质量指标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工资发放率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工资实际发放数占全部发放数的比例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color w:val="auto"/>
              </w:rPr>
            </w:pPr>
            <w:r>
              <w:rPr>
                <w:color w:val="auto"/>
              </w:rPr>
              <w:t>时效指标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color w:val="auto"/>
              </w:rPr>
            </w:pPr>
            <w:r>
              <w:rPr>
                <w:color w:val="auto"/>
              </w:rPr>
              <w:t>成本指标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实际支出金额与预算金额的比例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效益指标</w:t>
            </w:r>
          </w:p>
        </w:tc>
        <w:tc>
          <w:tcPr>
            <w:tcW w:w="2466" w:type="dxa"/>
            <w:vAlign w:val="center"/>
          </w:tcPr>
          <w:p>
            <w:pPr>
              <w:pStyle w:val="15"/>
              <w:rPr>
                <w:color w:val="auto"/>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资金支出及时率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按时间进度要求支出资金占全部支出的比例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color w:val="auto"/>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机关工作效率提升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机关工作效率提升情况</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color w:val="auto"/>
              </w:rPr>
            </w:pPr>
            <w:r>
              <w:rPr>
                <w:color w:val="auto"/>
              </w:rPr>
              <w:t>生态效益指标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提升机关服务水平</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提升机关服务水平情况</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0" w:type="auto"/>
            <w:vAlign w:val="center"/>
          </w:tcPr>
          <w:p>
            <w:pPr>
              <w:pStyle w:val="16"/>
              <w:rPr>
                <w:rFonts w:ascii="方正书宋_GBK" w:hAnsi="方正书宋_GBK" w:eastAsia="方正书宋_GBK" w:cs="方正书宋_GBK"/>
                <w:color w:val="auto"/>
                <w:sz w:val="21"/>
                <w:szCs w:val="24"/>
                <w:lang w:val="en-US" w:eastAsia="uk-UA" w:bidi="ar-SA"/>
              </w:rPr>
            </w:pPr>
            <w:r>
              <w:rPr>
                <w:color w:val="auto"/>
              </w:rPr>
              <w:t>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≥98百分比</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2、涞源县东外环路改造工程项目绩效目标表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3"/>
              <w:rPr>
                <w:color w:val="auto"/>
              </w:rPr>
            </w:pPr>
            <w:r>
              <w:rPr>
                <w:color w:val="auto"/>
              </w:rPr>
              <w:t>一级指标</w:t>
            </w:r>
          </w:p>
        </w:tc>
        <w:tc>
          <w:tcPr>
            <w:tcW w:w="2466" w:type="dxa"/>
            <w:vAlign w:val="center"/>
          </w:tcPr>
          <w:p>
            <w:pPr>
              <w:pStyle w:val="13"/>
              <w:rPr>
                <w:color w:val="auto"/>
              </w:rPr>
            </w:pPr>
            <w:r>
              <w:rPr>
                <w:color w:val="auto"/>
              </w:rPr>
              <w:t>二级指标</w:t>
            </w:r>
          </w:p>
        </w:tc>
        <w:tc>
          <w:tcPr>
            <w:tcW w:w="2466" w:type="dxa"/>
            <w:vAlign w:val="center"/>
          </w:tcPr>
          <w:p>
            <w:pPr>
              <w:pStyle w:val="13"/>
              <w:rPr>
                <w:color w:val="auto"/>
              </w:rPr>
            </w:pPr>
            <w:r>
              <w:rPr>
                <w:color w:val="auto"/>
              </w:rPr>
              <w:t>三级指标</w:t>
            </w:r>
          </w:p>
        </w:tc>
        <w:tc>
          <w:tcPr>
            <w:tcW w:w="2466" w:type="dxa"/>
            <w:vAlign w:val="center"/>
          </w:tcPr>
          <w:p>
            <w:pPr>
              <w:pStyle w:val="13"/>
              <w:rPr>
                <w:color w:val="auto"/>
              </w:rPr>
            </w:pPr>
            <w:r>
              <w:rPr>
                <w:color w:val="auto"/>
              </w:rPr>
              <w:t>绩效指标描述</w:t>
            </w:r>
          </w:p>
        </w:tc>
        <w:tc>
          <w:tcPr>
            <w:tcW w:w="2466" w:type="dxa"/>
            <w:vAlign w:val="center"/>
          </w:tcPr>
          <w:p>
            <w:pPr>
              <w:pStyle w:val="13"/>
              <w:rPr>
                <w:color w:val="auto"/>
              </w:rPr>
            </w:pPr>
            <w:r>
              <w:rPr>
                <w:color w:val="auto"/>
              </w:rPr>
              <w:t>指标值</w:t>
            </w:r>
          </w:p>
        </w:tc>
        <w:tc>
          <w:tcPr>
            <w:tcW w:w="2466"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产出指标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数量指标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道路改造涉及里程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道路改造涉及里程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质量指标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工作质量考核优良率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工作质量考核优良率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时效指标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完成项目的成本控制在预算水平</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经济效益指标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资金使用效益</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资金使用效益</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项目对社会效益提升比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项目对社会效益提升比值</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生态环境质量改善</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生态环境质量改善</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可持续影响指标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工程使用年限</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工程使用年限</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0" w:type="auto"/>
          </w:tcPr>
          <w:p>
            <w:pPr>
              <w:pStyle w:val="16"/>
              <w:rPr>
                <w:color w:val="auto"/>
              </w:rPr>
            </w:pPr>
            <w:r>
              <w:rPr>
                <w:color w:val="auto"/>
              </w:rPr>
              <w:t>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≥98百分比</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3、涞源县广泉大街拒马河大桥拓宽工程绩效目标表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426"/>
        <w:gridCol w:w="7372"/>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426" w:type="dxa"/>
            <w:tcBorders>
              <w:bottom w:val="single" w:color="FFFFFF" w:sz="6" w:space="0"/>
            </w:tcBorders>
            <w:vAlign w:val="center"/>
          </w:tcPr>
          <w:p>
            <w:pPr>
              <w:pStyle w:val="13"/>
              <w:rPr>
                <w:color w:val="auto"/>
              </w:rPr>
            </w:pPr>
            <w:r>
              <w:rPr>
                <w:color w:val="auto"/>
              </w:rPr>
              <w:t>绩效目标</w:t>
            </w:r>
          </w:p>
        </w:tc>
        <w:tc>
          <w:tcPr>
            <w:tcW w:w="7372"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3"/>
              <w:rPr>
                <w:color w:val="auto"/>
              </w:rPr>
            </w:pPr>
            <w:r>
              <w:rPr>
                <w:color w:val="auto"/>
              </w:rPr>
              <w:t>一级指标</w:t>
            </w:r>
          </w:p>
        </w:tc>
        <w:tc>
          <w:tcPr>
            <w:tcW w:w="2466" w:type="dxa"/>
            <w:vAlign w:val="center"/>
          </w:tcPr>
          <w:p>
            <w:pPr>
              <w:pStyle w:val="13"/>
              <w:rPr>
                <w:color w:val="auto"/>
              </w:rPr>
            </w:pPr>
            <w:r>
              <w:rPr>
                <w:color w:val="auto"/>
              </w:rPr>
              <w:t>二级指标</w:t>
            </w:r>
          </w:p>
        </w:tc>
        <w:tc>
          <w:tcPr>
            <w:tcW w:w="2466" w:type="dxa"/>
            <w:vAlign w:val="center"/>
          </w:tcPr>
          <w:p>
            <w:pPr>
              <w:pStyle w:val="13"/>
              <w:rPr>
                <w:color w:val="auto"/>
              </w:rPr>
            </w:pPr>
            <w:r>
              <w:rPr>
                <w:color w:val="auto"/>
              </w:rPr>
              <w:t>三级指标</w:t>
            </w:r>
          </w:p>
        </w:tc>
        <w:tc>
          <w:tcPr>
            <w:tcW w:w="2466" w:type="dxa"/>
            <w:vAlign w:val="center"/>
          </w:tcPr>
          <w:p>
            <w:pPr>
              <w:pStyle w:val="13"/>
              <w:rPr>
                <w:color w:val="auto"/>
              </w:rPr>
            </w:pPr>
            <w:r>
              <w:rPr>
                <w:color w:val="auto"/>
              </w:rPr>
              <w:t>绩效指标描述</w:t>
            </w:r>
          </w:p>
        </w:tc>
        <w:tc>
          <w:tcPr>
            <w:tcW w:w="2466" w:type="dxa"/>
            <w:vAlign w:val="center"/>
          </w:tcPr>
          <w:p>
            <w:pPr>
              <w:pStyle w:val="13"/>
              <w:rPr>
                <w:color w:val="auto"/>
              </w:rPr>
            </w:pPr>
            <w:r>
              <w:rPr>
                <w:color w:val="auto"/>
              </w:rPr>
              <w:t>指标值</w:t>
            </w:r>
          </w:p>
        </w:tc>
        <w:tc>
          <w:tcPr>
            <w:tcW w:w="2466"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产出指标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数量指标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大桥拓宽涉及里程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大桥拓宽改造涉及里程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质量指标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工作质量考核优良率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工作质量考核优良率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时效指标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完成项目的成本控制在预算水平</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经济效益指标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资金使用效益</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资金使用效益</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项目对社会效益提升比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项目对社会效益提升比值</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tcPr>
          <w:p>
            <w:pPr>
              <w:pStyle w:val="16"/>
              <w:rPr>
                <w:color w:val="auto"/>
              </w:rPr>
            </w:pP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生态效益指标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生态环境质量改善</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生态环境质量改善</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tcPr>
          <w:p>
            <w:pPr>
              <w:pStyle w:val="16"/>
              <w:rPr>
                <w:color w:val="auto"/>
              </w:rPr>
            </w:pP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可持续影响指标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工程使用年限</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工程使用年限</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0" w:type="auto"/>
          </w:tcPr>
          <w:p>
            <w:pPr>
              <w:pStyle w:val="16"/>
              <w:rPr>
                <w:color w:val="auto"/>
              </w:rPr>
            </w:pPr>
            <w:r>
              <w:rPr>
                <w:color w:val="auto"/>
              </w:rPr>
              <w:t>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≥98百分比</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4、2023年交出租公交管理站工作经费10万元绩效目标表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3"/>
              <w:rPr>
                <w:color w:val="auto"/>
              </w:rPr>
            </w:pPr>
            <w:r>
              <w:rPr>
                <w:color w:val="auto"/>
              </w:rPr>
              <w:t>一级指标</w:t>
            </w:r>
          </w:p>
        </w:tc>
        <w:tc>
          <w:tcPr>
            <w:tcW w:w="2466" w:type="dxa"/>
            <w:vAlign w:val="center"/>
          </w:tcPr>
          <w:p>
            <w:pPr>
              <w:pStyle w:val="13"/>
              <w:rPr>
                <w:color w:val="auto"/>
              </w:rPr>
            </w:pPr>
            <w:r>
              <w:rPr>
                <w:color w:val="auto"/>
              </w:rPr>
              <w:t>二级指标</w:t>
            </w:r>
          </w:p>
        </w:tc>
        <w:tc>
          <w:tcPr>
            <w:tcW w:w="2466" w:type="dxa"/>
            <w:vAlign w:val="center"/>
          </w:tcPr>
          <w:p>
            <w:pPr>
              <w:pStyle w:val="13"/>
              <w:rPr>
                <w:color w:val="auto"/>
              </w:rPr>
            </w:pPr>
            <w:r>
              <w:rPr>
                <w:color w:val="auto"/>
              </w:rPr>
              <w:t>三级指标</w:t>
            </w:r>
          </w:p>
        </w:tc>
        <w:tc>
          <w:tcPr>
            <w:tcW w:w="2466" w:type="dxa"/>
            <w:vAlign w:val="center"/>
          </w:tcPr>
          <w:p>
            <w:pPr>
              <w:pStyle w:val="13"/>
              <w:rPr>
                <w:color w:val="auto"/>
              </w:rPr>
            </w:pPr>
            <w:r>
              <w:rPr>
                <w:color w:val="auto"/>
              </w:rPr>
              <w:t>绩效指标描述</w:t>
            </w:r>
          </w:p>
        </w:tc>
        <w:tc>
          <w:tcPr>
            <w:tcW w:w="2466" w:type="dxa"/>
            <w:vAlign w:val="center"/>
          </w:tcPr>
          <w:p>
            <w:pPr>
              <w:pStyle w:val="13"/>
              <w:rPr>
                <w:color w:val="auto"/>
              </w:rPr>
            </w:pPr>
            <w:r>
              <w:rPr>
                <w:color w:val="auto"/>
              </w:rPr>
              <w:t>指标值</w:t>
            </w:r>
          </w:p>
        </w:tc>
        <w:tc>
          <w:tcPr>
            <w:tcW w:w="2466"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产出指标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数量指标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购置办公用品</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购置办公用品数量</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质量指标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办公用品合格率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办公用品合格率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时效指标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工作任务完成及时率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经济效益指标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资金的使用效率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资金的使用效率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提升公共服务水平</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提升公共服务水平</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0" w:type="auto"/>
          </w:tcPr>
          <w:p>
            <w:pPr>
              <w:pStyle w:val="16"/>
              <w:rPr>
                <w:color w:val="auto"/>
              </w:rPr>
            </w:pPr>
            <w:r>
              <w:rPr>
                <w:color w:val="auto"/>
              </w:rPr>
              <w:t>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≥98百分比</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5、2023年交通局对公交车的补贴150万元绩效目标表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3"/>
              <w:rPr>
                <w:color w:val="auto"/>
              </w:rPr>
            </w:pPr>
            <w:r>
              <w:rPr>
                <w:color w:val="auto"/>
              </w:rPr>
              <w:t>一级指标</w:t>
            </w:r>
          </w:p>
        </w:tc>
        <w:tc>
          <w:tcPr>
            <w:tcW w:w="2466" w:type="dxa"/>
            <w:vAlign w:val="center"/>
          </w:tcPr>
          <w:p>
            <w:pPr>
              <w:pStyle w:val="13"/>
              <w:rPr>
                <w:color w:val="auto"/>
              </w:rPr>
            </w:pPr>
            <w:r>
              <w:rPr>
                <w:color w:val="auto"/>
              </w:rPr>
              <w:t>二级指标</w:t>
            </w:r>
          </w:p>
        </w:tc>
        <w:tc>
          <w:tcPr>
            <w:tcW w:w="2466" w:type="dxa"/>
            <w:vAlign w:val="center"/>
          </w:tcPr>
          <w:p>
            <w:pPr>
              <w:pStyle w:val="13"/>
              <w:rPr>
                <w:color w:val="auto"/>
              </w:rPr>
            </w:pPr>
            <w:r>
              <w:rPr>
                <w:color w:val="auto"/>
              </w:rPr>
              <w:t>三级指标</w:t>
            </w:r>
          </w:p>
        </w:tc>
        <w:tc>
          <w:tcPr>
            <w:tcW w:w="2466" w:type="dxa"/>
            <w:vAlign w:val="center"/>
          </w:tcPr>
          <w:p>
            <w:pPr>
              <w:pStyle w:val="13"/>
              <w:rPr>
                <w:color w:val="auto"/>
              </w:rPr>
            </w:pPr>
            <w:r>
              <w:rPr>
                <w:color w:val="auto"/>
              </w:rPr>
              <w:t>绩效指标描述</w:t>
            </w:r>
          </w:p>
        </w:tc>
        <w:tc>
          <w:tcPr>
            <w:tcW w:w="2466" w:type="dxa"/>
            <w:vAlign w:val="center"/>
          </w:tcPr>
          <w:p>
            <w:pPr>
              <w:pStyle w:val="13"/>
              <w:rPr>
                <w:color w:val="auto"/>
              </w:rPr>
            </w:pPr>
            <w:r>
              <w:rPr>
                <w:color w:val="auto"/>
              </w:rPr>
              <w:t>指标值</w:t>
            </w:r>
          </w:p>
        </w:tc>
        <w:tc>
          <w:tcPr>
            <w:tcW w:w="2466"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产出指标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数量指标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发放补助人数</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发放补助人数</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质量指标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完成率质量</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完成率质量</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时效指标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支付及时率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按合同约定一次性支付</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完成项目的成本控制在预算水平</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经济效益指标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资金的使用效率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资金的使用效率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公共服务水平提升情况</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公共服务水平提升情况</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tcPr>
          <w:p>
            <w:pPr>
              <w:pStyle w:val="16"/>
              <w:rPr>
                <w:color w:val="auto"/>
              </w:rPr>
            </w:pP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生态效益指标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节能环保减排</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节能环保减排</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tcPr>
          <w:p>
            <w:pPr>
              <w:pStyle w:val="16"/>
              <w:rPr>
                <w:color w:val="auto"/>
              </w:rPr>
            </w:pP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可持续影响指标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基本公共服务水平</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基本公共服务水平提升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0" w:type="auto"/>
          </w:tcPr>
          <w:p>
            <w:pPr>
              <w:pStyle w:val="16"/>
              <w:rPr>
                <w:color w:val="auto"/>
              </w:rPr>
            </w:pPr>
            <w:r>
              <w:rPr>
                <w:color w:val="auto"/>
              </w:rPr>
              <w:t>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≥98百分比</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6、2023年交通局农村工路养护工程补助251万绩效目标表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3"/>
              <w:rPr>
                <w:color w:val="auto"/>
              </w:rPr>
            </w:pPr>
            <w:r>
              <w:rPr>
                <w:color w:val="auto"/>
              </w:rPr>
              <w:t>一级指标</w:t>
            </w:r>
          </w:p>
        </w:tc>
        <w:tc>
          <w:tcPr>
            <w:tcW w:w="2466" w:type="dxa"/>
            <w:vAlign w:val="center"/>
          </w:tcPr>
          <w:p>
            <w:pPr>
              <w:pStyle w:val="13"/>
              <w:rPr>
                <w:color w:val="auto"/>
              </w:rPr>
            </w:pPr>
            <w:r>
              <w:rPr>
                <w:color w:val="auto"/>
              </w:rPr>
              <w:t>二级指标</w:t>
            </w:r>
          </w:p>
        </w:tc>
        <w:tc>
          <w:tcPr>
            <w:tcW w:w="2466" w:type="dxa"/>
            <w:vAlign w:val="center"/>
          </w:tcPr>
          <w:p>
            <w:pPr>
              <w:pStyle w:val="13"/>
              <w:rPr>
                <w:color w:val="auto"/>
              </w:rPr>
            </w:pPr>
            <w:r>
              <w:rPr>
                <w:color w:val="auto"/>
              </w:rPr>
              <w:t>三级指标</w:t>
            </w:r>
          </w:p>
        </w:tc>
        <w:tc>
          <w:tcPr>
            <w:tcW w:w="2466" w:type="dxa"/>
            <w:vAlign w:val="center"/>
          </w:tcPr>
          <w:p>
            <w:pPr>
              <w:pStyle w:val="13"/>
              <w:rPr>
                <w:color w:val="auto"/>
              </w:rPr>
            </w:pPr>
            <w:r>
              <w:rPr>
                <w:color w:val="auto"/>
              </w:rPr>
              <w:t>绩效指标描述</w:t>
            </w:r>
          </w:p>
        </w:tc>
        <w:tc>
          <w:tcPr>
            <w:tcW w:w="2466" w:type="dxa"/>
            <w:vAlign w:val="center"/>
          </w:tcPr>
          <w:p>
            <w:pPr>
              <w:pStyle w:val="13"/>
              <w:rPr>
                <w:color w:val="auto"/>
              </w:rPr>
            </w:pPr>
            <w:r>
              <w:rPr>
                <w:color w:val="auto"/>
              </w:rPr>
              <w:t>指标值</w:t>
            </w:r>
          </w:p>
        </w:tc>
        <w:tc>
          <w:tcPr>
            <w:tcW w:w="2466"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产出指标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数量指标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养护里程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农村公路养护里程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891.22公里</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质量指标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覆盖率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养护里程占总数量的比例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时效指标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工作完成及时率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成本控制率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项目成本不超过年度预算的比例</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6"/>
              <w:rPr>
                <w:color w:val="auto"/>
              </w:rPr>
            </w:pPr>
            <w:r>
              <w:rPr>
                <w:color w:val="auto"/>
              </w:rPr>
              <w:t>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经济效益指标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资金的使用效率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资金的使用效率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100百分比</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pPr>
              <w:pStyle w:val="16"/>
              <w:rPr>
                <w:color w:val="auto"/>
              </w:rPr>
            </w:pP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社会效益指标</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便携群众出行</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有效提升群众出行安全</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100优良中差</w:t>
            </w:r>
          </w:p>
        </w:tc>
        <w:tc>
          <w:tcPr>
            <w:tcW w:w="2466" w:type="dxa"/>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0" w:type="auto"/>
          </w:tcPr>
          <w:p>
            <w:pPr>
              <w:pStyle w:val="16"/>
              <w:rPr>
                <w:color w:val="auto"/>
              </w:rPr>
            </w:pPr>
            <w:r>
              <w:rPr>
                <w:color w:val="auto"/>
              </w:rPr>
              <w:t>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服务对象满意度指标</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群众满意度</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群众满意数量占总数的比例。</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≥98百分比</w:t>
            </w:r>
          </w:p>
        </w:tc>
        <w:tc>
          <w:tcPr>
            <w:tcW w:w="0" w:type="auto"/>
            <w:vAlign w:val="center"/>
          </w:tcPr>
          <w:p>
            <w:pPr>
              <w:pStyle w:val="15"/>
              <w:rPr>
                <w:rFonts w:ascii="方正书宋_GBK" w:hAnsi="方正书宋_GBK" w:eastAsia="方正书宋_GBK" w:cs="方正书宋_GBK"/>
                <w:color w:val="auto"/>
                <w:sz w:val="21"/>
                <w:szCs w:val="24"/>
                <w:lang w:val="en-US" w:eastAsia="uk-UA" w:bidi="ar-SA"/>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7、2023年交通局农村公路养护县配套166万元绩效目标表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养护里程</w:t>
            </w:r>
          </w:p>
        </w:tc>
        <w:tc>
          <w:tcPr>
            <w:tcW w:w="2835" w:type="dxa"/>
            <w:vAlign w:val="center"/>
          </w:tcPr>
          <w:p>
            <w:pPr>
              <w:pStyle w:val="15"/>
              <w:rPr>
                <w:color w:val="auto"/>
              </w:rPr>
            </w:pPr>
            <w:r>
              <w:rPr>
                <w:color w:val="auto"/>
              </w:rPr>
              <w:t>农村公路养护里程</w:t>
            </w:r>
          </w:p>
        </w:tc>
        <w:tc>
          <w:tcPr>
            <w:tcW w:w="2551" w:type="dxa"/>
            <w:vAlign w:val="center"/>
          </w:tcPr>
          <w:p>
            <w:pPr>
              <w:pStyle w:val="15"/>
              <w:rPr>
                <w:color w:val="auto"/>
              </w:rPr>
            </w:pPr>
            <w:r>
              <w:rPr>
                <w:color w:val="auto"/>
              </w:rPr>
              <w:t>891.22公里</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覆盖率</w:t>
            </w:r>
          </w:p>
        </w:tc>
        <w:tc>
          <w:tcPr>
            <w:tcW w:w="2835" w:type="dxa"/>
            <w:vAlign w:val="center"/>
          </w:tcPr>
          <w:p>
            <w:pPr>
              <w:pStyle w:val="15"/>
              <w:rPr>
                <w:color w:val="auto"/>
              </w:rPr>
            </w:pPr>
            <w:r>
              <w:rPr>
                <w:color w:val="auto"/>
              </w:rPr>
              <w:t>养护里程占总数量的比例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完成及时率</w:t>
            </w:r>
          </w:p>
        </w:tc>
        <w:tc>
          <w:tcPr>
            <w:tcW w:w="2835" w:type="dxa"/>
            <w:vAlign w:val="center"/>
          </w:tcPr>
          <w:p>
            <w:pPr>
              <w:pStyle w:val="15"/>
              <w:rPr>
                <w:color w:val="auto"/>
              </w:rPr>
            </w:pPr>
            <w:r>
              <w:rPr>
                <w:color w:val="auto"/>
              </w:rPr>
              <w:t>工作完成及时率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项目成本不超过年度预算的比例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便携群众出行</w:t>
            </w:r>
          </w:p>
        </w:tc>
        <w:tc>
          <w:tcPr>
            <w:tcW w:w="2835" w:type="dxa"/>
            <w:vAlign w:val="center"/>
          </w:tcPr>
          <w:p>
            <w:pPr>
              <w:pStyle w:val="15"/>
              <w:rPr>
                <w:color w:val="auto"/>
              </w:rPr>
            </w:pPr>
            <w:r>
              <w:rPr>
                <w:color w:val="auto"/>
              </w:rPr>
              <w:t>有效提升群众出行安全</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群众满意度</w:t>
            </w:r>
          </w:p>
        </w:tc>
        <w:tc>
          <w:tcPr>
            <w:tcW w:w="2835" w:type="dxa"/>
            <w:vAlign w:val="center"/>
          </w:tcPr>
          <w:p>
            <w:pPr>
              <w:pStyle w:val="15"/>
              <w:rPr>
                <w:color w:val="auto"/>
              </w:rPr>
            </w:pPr>
            <w:r>
              <w:rPr>
                <w:color w:val="auto"/>
              </w:rPr>
              <w:t>群众满意数量占总数的比例。</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8、2023年交通局四家公交公司资金收入情况审计费26.63万元绩效目标表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项目数量</w:t>
            </w:r>
          </w:p>
        </w:tc>
        <w:tc>
          <w:tcPr>
            <w:tcW w:w="2835" w:type="dxa"/>
            <w:vAlign w:val="center"/>
          </w:tcPr>
          <w:p>
            <w:pPr>
              <w:pStyle w:val="15"/>
              <w:rPr>
                <w:color w:val="auto"/>
              </w:rPr>
            </w:pPr>
            <w:r>
              <w:rPr>
                <w:color w:val="auto"/>
              </w:rPr>
              <w:t>完成项目数量</w:t>
            </w:r>
          </w:p>
        </w:tc>
        <w:tc>
          <w:tcPr>
            <w:tcW w:w="2551" w:type="dxa"/>
            <w:vAlign w:val="center"/>
          </w:tcPr>
          <w:p>
            <w:pPr>
              <w:pStyle w:val="15"/>
              <w:rPr>
                <w:color w:val="auto"/>
              </w:rPr>
            </w:pPr>
            <w:r>
              <w:rPr>
                <w:color w:val="auto"/>
              </w:rPr>
              <w:t>1项目数量</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完成合格率</w:t>
            </w:r>
          </w:p>
        </w:tc>
        <w:tc>
          <w:tcPr>
            <w:tcW w:w="2835" w:type="dxa"/>
            <w:vAlign w:val="center"/>
          </w:tcPr>
          <w:p>
            <w:pPr>
              <w:pStyle w:val="15"/>
              <w:rPr>
                <w:color w:val="auto"/>
              </w:rPr>
            </w:pPr>
            <w:r>
              <w:rPr>
                <w:color w:val="auto"/>
              </w:rPr>
              <w:t>完成合格率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工作完成的时效</w:t>
            </w:r>
          </w:p>
          <w:p>
            <w:pPr>
              <w:pStyle w:val="15"/>
              <w:rPr>
                <w:color w:val="auto"/>
              </w:rPr>
            </w:pPr>
          </w:p>
        </w:tc>
        <w:tc>
          <w:tcPr>
            <w:tcW w:w="2835" w:type="dxa"/>
            <w:vAlign w:val="center"/>
          </w:tcPr>
          <w:p>
            <w:pPr>
              <w:pStyle w:val="15"/>
              <w:rPr>
                <w:color w:val="auto"/>
              </w:rPr>
            </w:pPr>
            <w:r>
              <w:rPr>
                <w:color w:val="auto"/>
              </w:rPr>
              <w:t>工作完成的时效</w:t>
            </w:r>
          </w:p>
          <w:p>
            <w:pPr>
              <w:pStyle w:val="15"/>
              <w:rPr>
                <w:color w:val="auto"/>
              </w:rPr>
            </w:pP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实际支出资金占预算支出资金的比例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公信力</w:t>
            </w:r>
          </w:p>
        </w:tc>
        <w:tc>
          <w:tcPr>
            <w:tcW w:w="2835" w:type="dxa"/>
            <w:vAlign w:val="center"/>
          </w:tcPr>
          <w:p>
            <w:pPr>
              <w:pStyle w:val="15"/>
              <w:rPr>
                <w:color w:val="auto"/>
              </w:rPr>
            </w:pPr>
            <w:r>
              <w:rPr>
                <w:color w:val="auto"/>
              </w:rPr>
              <w:t>提升政府公信力</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调查中满意和较满意的人数占调查总人数的比率</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9、2023年交通局用于农村公路建设改造等工程款551万元绩效目标表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新改建农村公路里程（公里）</w:t>
            </w:r>
          </w:p>
        </w:tc>
        <w:tc>
          <w:tcPr>
            <w:tcW w:w="2835" w:type="dxa"/>
            <w:vAlign w:val="center"/>
          </w:tcPr>
          <w:p>
            <w:pPr>
              <w:pStyle w:val="15"/>
              <w:rPr>
                <w:color w:val="auto"/>
              </w:rPr>
            </w:pPr>
            <w:r>
              <w:rPr>
                <w:color w:val="auto"/>
              </w:rPr>
              <w:t>新改建农村公路里程（公里）</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质量合格率(%)</w:t>
            </w:r>
          </w:p>
        </w:tc>
        <w:tc>
          <w:tcPr>
            <w:tcW w:w="2835" w:type="dxa"/>
            <w:vAlign w:val="center"/>
          </w:tcPr>
          <w:p>
            <w:pPr>
              <w:pStyle w:val="15"/>
              <w:rPr>
                <w:color w:val="auto"/>
              </w:rPr>
            </w:pPr>
            <w:r>
              <w:rPr>
                <w:color w:val="auto"/>
              </w:rPr>
              <w:t>质量合格率(%)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工作任务完成及时率</w:t>
            </w:r>
          </w:p>
        </w:tc>
        <w:tc>
          <w:tcPr>
            <w:tcW w:w="2835" w:type="dxa"/>
            <w:vAlign w:val="center"/>
          </w:tcPr>
          <w:p>
            <w:pPr>
              <w:pStyle w:val="15"/>
              <w:rPr>
                <w:color w:val="auto"/>
              </w:rPr>
            </w:pPr>
            <w:r>
              <w:rPr>
                <w:color w:val="auto"/>
              </w:rPr>
              <w:t>工作任务完成及时率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便携群众出行</w:t>
            </w:r>
          </w:p>
        </w:tc>
        <w:tc>
          <w:tcPr>
            <w:tcW w:w="2835" w:type="dxa"/>
            <w:vAlign w:val="center"/>
          </w:tcPr>
          <w:p>
            <w:pPr>
              <w:pStyle w:val="15"/>
              <w:rPr>
                <w:color w:val="auto"/>
              </w:rPr>
            </w:pPr>
            <w:r>
              <w:rPr>
                <w:color w:val="auto"/>
              </w:rPr>
              <w:t>有效提升群众出行安全</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改善生态环境质量</w:t>
            </w:r>
          </w:p>
        </w:tc>
        <w:tc>
          <w:tcPr>
            <w:tcW w:w="2835" w:type="dxa"/>
            <w:vAlign w:val="center"/>
          </w:tcPr>
          <w:p>
            <w:pPr>
              <w:pStyle w:val="15"/>
              <w:rPr>
                <w:color w:val="auto"/>
              </w:rPr>
            </w:pPr>
            <w:r>
              <w:rPr>
                <w:color w:val="auto"/>
              </w:rPr>
              <w:t>改善生态环境质量</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乡村道路持续使用年限</w:t>
            </w:r>
          </w:p>
        </w:tc>
        <w:tc>
          <w:tcPr>
            <w:tcW w:w="2835" w:type="dxa"/>
            <w:vAlign w:val="center"/>
          </w:tcPr>
          <w:p>
            <w:pPr>
              <w:pStyle w:val="15"/>
              <w:rPr>
                <w:color w:val="auto"/>
              </w:rPr>
            </w:pPr>
            <w:r>
              <w:rPr>
                <w:color w:val="auto"/>
              </w:rPr>
              <w:t>乡村道路持续使用年限</w:t>
            </w:r>
          </w:p>
        </w:tc>
        <w:tc>
          <w:tcPr>
            <w:tcW w:w="2551" w:type="dxa"/>
            <w:vAlign w:val="center"/>
          </w:tcPr>
          <w:p>
            <w:pPr>
              <w:pStyle w:val="15"/>
              <w:rPr>
                <w:color w:val="auto"/>
              </w:rPr>
            </w:pPr>
            <w:r>
              <w:rPr>
                <w:color w:val="auto"/>
              </w:rPr>
              <w:t>10优良中差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服务对象满意度</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10、2023年交通局治超工作经费30万元绩效目标表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购置办公用品</w:t>
            </w:r>
          </w:p>
        </w:tc>
        <w:tc>
          <w:tcPr>
            <w:tcW w:w="2835" w:type="dxa"/>
            <w:vAlign w:val="center"/>
          </w:tcPr>
          <w:p>
            <w:pPr>
              <w:pStyle w:val="15"/>
              <w:rPr>
                <w:color w:val="auto"/>
              </w:rPr>
            </w:pPr>
            <w:r>
              <w:rPr>
                <w:color w:val="auto"/>
              </w:rPr>
              <w:t>购置办公用品数量</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办公用品合格率</w:t>
            </w:r>
          </w:p>
        </w:tc>
        <w:tc>
          <w:tcPr>
            <w:tcW w:w="2835" w:type="dxa"/>
            <w:vAlign w:val="center"/>
          </w:tcPr>
          <w:p>
            <w:pPr>
              <w:pStyle w:val="15"/>
              <w:rPr>
                <w:color w:val="auto"/>
              </w:rPr>
            </w:pPr>
            <w:r>
              <w:rPr>
                <w:color w:val="auto"/>
              </w:rPr>
              <w:t>办公用品合格率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工作任务完成及时率</w:t>
            </w:r>
          </w:p>
        </w:tc>
        <w:tc>
          <w:tcPr>
            <w:tcW w:w="2835" w:type="dxa"/>
            <w:vAlign w:val="center"/>
          </w:tcPr>
          <w:p>
            <w:pPr>
              <w:pStyle w:val="15"/>
              <w:rPr>
                <w:color w:val="auto"/>
              </w:rPr>
            </w:pPr>
            <w:r>
              <w:rPr>
                <w:color w:val="auto"/>
              </w:rPr>
              <w:t>工作任务完成及时率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提升公共服务水平</w:t>
            </w:r>
          </w:p>
        </w:tc>
        <w:tc>
          <w:tcPr>
            <w:tcW w:w="2835" w:type="dxa"/>
            <w:vAlign w:val="center"/>
          </w:tcPr>
          <w:p>
            <w:pPr>
              <w:pStyle w:val="15"/>
              <w:rPr>
                <w:color w:val="auto"/>
              </w:rPr>
            </w:pPr>
            <w:r>
              <w:rPr>
                <w:color w:val="auto"/>
              </w:rPr>
              <w:t>提升公共服务水平</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服务对象满意度</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11、2023年农村公路建设养护发展专项资金40万元绩效目标表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养护里程</w:t>
            </w:r>
          </w:p>
        </w:tc>
        <w:tc>
          <w:tcPr>
            <w:tcW w:w="2835" w:type="dxa"/>
            <w:vAlign w:val="center"/>
          </w:tcPr>
          <w:p>
            <w:pPr>
              <w:pStyle w:val="15"/>
              <w:rPr>
                <w:color w:val="auto"/>
              </w:rPr>
            </w:pPr>
            <w:r>
              <w:rPr>
                <w:color w:val="auto"/>
              </w:rPr>
              <w:t>农村公路养护里程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覆盖率</w:t>
            </w:r>
          </w:p>
        </w:tc>
        <w:tc>
          <w:tcPr>
            <w:tcW w:w="2835" w:type="dxa"/>
            <w:vAlign w:val="center"/>
          </w:tcPr>
          <w:p>
            <w:pPr>
              <w:pStyle w:val="15"/>
              <w:rPr>
                <w:color w:val="auto"/>
              </w:rPr>
            </w:pPr>
            <w:r>
              <w:rPr>
                <w:color w:val="auto"/>
              </w:rPr>
              <w:t>养护里程占总数量的比例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完成及时率</w:t>
            </w:r>
          </w:p>
        </w:tc>
        <w:tc>
          <w:tcPr>
            <w:tcW w:w="2835" w:type="dxa"/>
            <w:vAlign w:val="center"/>
          </w:tcPr>
          <w:p>
            <w:pPr>
              <w:pStyle w:val="15"/>
              <w:rPr>
                <w:color w:val="auto"/>
              </w:rPr>
            </w:pPr>
            <w:r>
              <w:rPr>
                <w:color w:val="auto"/>
              </w:rPr>
              <w:t>工作完成及时率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项目成本不超过年度预算的比例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便携群众出行</w:t>
            </w:r>
          </w:p>
        </w:tc>
        <w:tc>
          <w:tcPr>
            <w:tcW w:w="2835" w:type="dxa"/>
            <w:vAlign w:val="center"/>
          </w:tcPr>
          <w:p>
            <w:pPr>
              <w:pStyle w:val="15"/>
              <w:rPr>
                <w:color w:val="auto"/>
              </w:rPr>
            </w:pPr>
            <w:r>
              <w:rPr>
                <w:color w:val="auto"/>
              </w:rPr>
              <w:t>有效提升群众出行安全</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群众满意度</w:t>
            </w:r>
          </w:p>
        </w:tc>
        <w:tc>
          <w:tcPr>
            <w:tcW w:w="2835" w:type="dxa"/>
            <w:vAlign w:val="center"/>
          </w:tcPr>
          <w:p>
            <w:pPr>
              <w:pStyle w:val="15"/>
              <w:rPr>
                <w:color w:val="auto"/>
              </w:rPr>
            </w:pPr>
            <w:r>
              <w:rPr>
                <w:color w:val="auto"/>
              </w:rPr>
              <w:t>群众满意数量占总数的比例。</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12、2023年农村公路建设养护发展专项资金58万元绩效目标表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涉及里程</w:t>
            </w:r>
          </w:p>
        </w:tc>
        <w:tc>
          <w:tcPr>
            <w:tcW w:w="2835" w:type="dxa"/>
            <w:vAlign w:val="center"/>
          </w:tcPr>
          <w:p>
            <w:pPr>
              <w:pStyle w:val="15"/>
              <w:rPr>
                <w:color w:val="auto"/>
              </w:rPr>
            </w:pPr>
            <w:r>
              <w:rPr>
                <w:color w:val="auto"/>
              </w:rPr>
              <w:t>农村公路新建改建里程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覆盖率</w:t>
            </w:r>
          </w:p>
        </w:tc>
        <w:tc>
          <w:tcPr>
            <w:tcW w:w="2835" w:type="dxa"/>
            <w:vAlign w:val="center"/>
          </w:tcPr>
          <w:p>
            <w:pPr>
              <w:pStyle w:val="15"/>
              <w:rPr>
                <w:color w:val="auto"/>
              </w:rPr>
            </w:pPr>
            <w:r>
              <w:rPr>
                <w:color w:val="auto"/>
              </w:rPr>
              <w:t>养护里程占总数量的比例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完成及时率</w:t>
            </w:r>
          </w:p>
        </w:tc>
        <w:tc>
          <w:tcPr>
            <w:tcW w:w="2835" w:type="dxa"/>
            <w:vAlign w:val="center"/>
          </w:tcPr>
          <w:p>
            <w:pPr>
              <w:pStyle w:val="15"/>
              <w:rPr>
                <w:color w:val="auto"/>
              </w:rPr>
            </w:pPr>
            <w:r>
              <w:rPr>
                <w:color w:val="auto"/>
              </w:rPr>
              <w:t>工作完成及时率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项目成本不超过年度预算的比例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便携群众出行</w:t>
            </w:r>
          </w:p>
        </w:tc>
        <w:tc>
          <w:tcPr>
            <w:tcW w:w="2835" w:type="dxa"/>
            <w:vAlign w:val="center"/>
          </w:tcPr>
          <w:p>
            <w:pPr>
              <w:pStyle w:val="15"/>
              <w:rPr>
                <w:color w:val="auto"/>
              </w:rPr>
            </w:pPr>
            <w:r>
              <w:rPr>
                <w:color w:val="auto"/>
              </w:rPr>
              <w:t>有效提升群众出行安全</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群众满意度</w:t>
            </w:r>
          </w:p>
        </w:tc>
        <w:tc>
          <w:tcPr>
            <w:tcW w:w="2835" w:type="dxa"/>
            <w:vAlign w:val="center"/>
          </w:tcPr>
          <w:p>
            <w:pPr>
              <w:pStyle w:val="15"/>
              <w:rPr>
                <w:color w:val="auto"/>
              </w:rPr>
            </w:pPr>
            <w:r>
              <w:rPr>
                <w:color w:val="auto"/>
              </w:rPr>
              <w:t>群众满意数量占总数的比例。</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13、2023年农村公路建设养护发展专项资金80万元绩效目标表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养护里程</w:t>
            </w:r>
          </w:p>
        </w:tc>
        <w:tc>
          <w:tcPr>
            <w:tcW w:w="2835" w:type="dxa"/>
            <w:vAlign w:val="center"/>
          </w:tcPr>
          <w:p>
            <w:pPr>
              <w:pStyle w:val="15"/>
              <w:rPr>
                <w:color w:val="auto"/>
              </w:rPr>
            </w:pPr>
            <w:r>
              <w:rPr>
                <w:color w:val="auto"/>
              </w:rPr>
              <w:t>农村公路养护里程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覆盖率</w:t>
            </w:r>
          </w:p>
        </w:tc>
        <w:tc>
          <w:tcPr>
            <w:tcW w:w="2835" w:type="dxa"/>
            <w:vAlign w:val="center"/>
          </w:tcPr>
          <w:p>
            <w:pPr>
              <w:pStyle w:val="15"/>
              <w:rPr>
                <w:color w:val="auto"/>
              </w:rPr>
            </w:pPr>
            <w:r>
              <w:rPr>
                <w:color w:val="auto"/>
              </w:rPr>
              <w:t>养护里程占总数量的比例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完成及时率</w:t>
            </w:r>
          </w:p>
        </w:tc>
        <w:tc>
          <w:tcPr>
            <w:tcW w:w="2835" w:type="dxa"/>
            <w:vAlign w:val="center"/>
          </w:tcPr>
          <w:p>
            <w:pPr>
              <w:pStyle w:val="15"/>
              <w:rPr>
                <w:color w:val="auto"/>
              </w:rPr>
            </w:pPr>
            <w:r>
              <w:rPr>
                <w:color w:val="auto"/>
              </w:rPr>
              <w:t>工作完成及时率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项目成本不超过年度预算的比例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便携群众出行</w:t>
            </w:r>
          </w:p>
        </w:tc>
        <w:tc>
          <w:tcPr>
            <w:tcW w:w="2835" w:type="dxa"/>
            <w:vAlign w:val="center"/>
          </w:tcPr>
          <w:p>
            <w:pPr>
              <w:pStyle w:val="15"/>
              <w:rPr>
                <w:color w:val="auto"/>
              </w:rPr>
            </w:pPr>
            <w:r>
              <w:rPr>
                <w:color w:val="auto"/>
              </w:rPr>
              <w:t>有效提升群众出行安全</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群众满意度</w:t>
            </w:r>
          </w:p>
        </w:tc>
        <w:tc>
          <w:tcPr>
            <w:tcW w:w="2835" w:type="dxa"/>
            <w:vAlign w:val="center"/>
          </w:tcPr>
          <w:p>
            <w:pPr>
              <w:pStyle w:val="15"/>
              <w:rPr>
                <w:color w:val="auto"/>
              </w:rPr>
            </w:pPr>
            <w:r>
              <w:rPr>
                <w:color w:val="auto"/>
              </w:rPr>
              <w:t>群众满意数量占总数的比例。</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ind w:firstLine="560"/>
        <w:rPr>
          <w:color w:val="auto"/>
        </w:rPr>
      </w:pPr>
      <w:r>
        <w:rPr>
          <w:rFonts w:ascii="方正仿宋_GBK" w:hAnsi="方正仿宋_GBK" w:eastAsia="方正仿宋_GBK" w:cs="方正仿宋_GBK"/>
          <w:b/>
          <w:color w:val="auto"/>
          <w:sz w:val="28"/>
        </w:rPr>
        <w:t>14、2023年中央车辆购置税收入补助地方资金230万元绩效目标表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1.按上级要求，完成下达的各项任务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新改建农村公路里程（公里）</w:t>
            </w:r>
          </w:p>
        </w:tc>
        <w:tc>
          <w:tcPr>
            <w:tcW w:w="2835" w:type="dxa"/>
            <w:vAlign w:val="center"/>
          </w:tcPr>
          <w:p>
            <w:pPr>
              <w:pStyle w:val="15"/>
              <w:rPr>
                <w:color w:val="auto"/>
              </w:rPr>
            </w:pPr>
            <w:r>
              <w:rPr>
                <w:color w:val="auto"/>
              </w:rPr>
              <w:t>新改建农村公路里程（公里）</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质量合格率(%)</w:t>
            </w:r>
          </w:p>
        </w:tc>
        <w:tc>
          <w:tcPr>
            <w:tcW w:w="2835" w:type="dxa"/>
            <w:vAlign w:val="center"/>
          </w:tcPr>
          <w:p>
            <w:pPr>
              <w:pStyle w:val="15"/>
              <w:rPr>
                <w:color w:val="auto"/>
              </w:rPr>
            </w:pPr>
            <w:r>
              <w:rPr>
                <w:color w:val="auto"/>
              </w:rPr>
              <w:t>质量合格率(%)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工作任务完成及时率</w:t>
            </w:r>
          </w:p>
        </w:tc>
        <w:tc>
          <w:tcPr>
            <w:tcW w:w="2835" w:type="dxa"/>
            <w:vAlign w:val="center"/>
          </w:tcPr>
          <w:p>
            <w:pPr>
              <w:pStyle w:val="15"/>
              <w:rPr>
                <w:color w:val="auto"/>
              </w:rPr>
            </w:pPr>
            <w:r>
              <w:rPr>
                <w:color w:val="auto"/>
              </w:rPr>
              <w:t>工作任务完成及时率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提高效率</w:t>
            </w:r>
          </w:p>
        </w:tc>
        <w:tc>
          <w:tcPr>
            <w:tcW w:w="2835" w:type="dxa"/>
            <w:vAlign w:val="center"/>
          </w:tcPr>
          <w:p>
            <w:pPr>
              <w:pStyle w:val="15"/>
              <w:rPr>
                <w:color w:val="auto"/>
              </w:rPr>
            </w:pPr>
            <w:r>
              <w:rPr>
                <w:color w:val="auto"/>
              </w:rPr>
              <w:t>提高效率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社会影响力</w:t>
            </w:r>
          </w:p>
        </w:tc>
        <w:tc>
          <w:tcPr>
            <w:tcW w:w="2835" w:type="dxa"/>
            <w:vAlign w:val="center"/>
          </w:tcPr>
          <w:p>
            <w:pPr>
              <w:pStyle w:val="15"/>
              <w:rPr>
                <w:color w:val="auto"/>
              </w:rPr>
            </w:pPr>
            <w:r>
              <w:rPr>
                <w:color w:val="auto"/>
              </w:rPr>
              <w:t>社会影响力</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改善生态环境质量</w:t>
            </w:r>
          </w:p>
        </w:tc>
        <w:tc>
          <w:tcPr>
            <w:tcW w:w="2835" w:type="dxa"/>
            <w:vAlign w:val="center"/>
          </w:tcPr>
          <w:p>
            <w:pPr>
              <w:pStyle w:val="15"/>
              <w:rPr>
                <w:color w:val="auto"/>
              </w:rPr>
            </w:pPr>
            <w:r>
              <w:rPr>
                <w:color w:val="auto"/>
              </w:rPr>
              <w:t>改善生态环境质量</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乡村道路持续使用年限</w:t>
            </w:r>
          </w:p>
        </w:tc>
        <w:tc>
          <w:tcPr>
            <w:tcW w:w="2835" w:type="dxa"/>
            <w:vAlign w:val="center"/>
          </w:tcPr>
          <w:p>
            <w:pPr>
              <w:pStyle w:val="15"/>
              <w:rPr>
                <w:color w:val="auto"/>
              </w:rPr>
            </w:pPr>
            <w:r>
              <w:rPr>
                <w:color w:val="auto"/>
              </w:rPr>
              <w:t>乡村道路持续使用年限</w:t>
            </w:r>
          </w:p>
        </w:tc>
        <w:tc>
          <w:tcPr>
            <w:tcW w:w="2551" w:type="dxa"/>
            <w:vAlign w:val="center"/>
          </w:tcPr>
          <w:p>
            <w:pPr>
              <w:pStyle w:val="15"/>
              <w:rPr>
                <w:color w:val="auto"/>
              </w:rPr>
            </w:pPr>
            <w:r>
              <w:rPr>
                <w:color w:val="auto"/>
              </w:rPr>
              <w:t>10优良中差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服务对象满意度</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spacing w:before="0" w:after="0"/>
        <w:ind w:firstLine="560"/>
        <w:jc w:val="left"/>
        <w:outlineLvl w:val="9"/>
        <w:rPr>
          <w:color w:val="auto"/>
        </w:rPr>
      </w:pPr>
      <w:r>
        <w:rPr>
          <w:rFonts w:ascii="方正仿宋_GBK" w:hAnsi="方正仿宋_GBK" w:eastAsia="方正仿宋_GBK" w:cs="方正仿宋_GBK"/>
          <w:b/>
          <w:color w:val="auto"/>
          <w:sz w:val="28"/>
        </w:rPr>
        <w:t>15、冀财建【2021】238号（40）提前下达2022年农村公路建设养护发展专项资金（农村公路日常养护补助资金）绩效目标表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1.按计划完成上级下达的工作任务。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道路里程</w:t>
            </w:r>
          </w:p>
        </w:tc>
        <w:tc>
          <w:tcPr>
            <w:tcW w:w="2835" w:type="dxa"/>
            <w:vAlign w:val="center"/>
          </w:tcPr>
          <w:p>
            <w:pPr>
              <w:pStyle w:val="15"/>
              <w:rPr>
                <w:color w:val="auto"/>
              </w:rPr>
            </w:pPr>
            <w:r>
              <w:rPr>
                <w:color w:val="auto"/>
              </w:rPr>
              <w:t>道路里程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验收合格率</w:t>
            </w:r>
          </w:p>
        </w:tc>
        <w:tc>
          <w:tcPr>
            <w:tcW w:w="2835" w:type="dxa"/>
            <w:vAlign w:val="center"/>
          </w:tcPr>
          <w:p>
            <w:pPr>
              <w:pStyle w:val="15"/>
              <w:rPr>
                <w:color w:val="auto"/>
              </w:rPr>
            </w:pPr>
            <w:r>
              <w:rPr>
                <w:color w:val="auto"/>
              </w:rPr>
              <w:t>验收合格率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工作完成的时效</w:t>
            </w:r>
          </w:p>
          <w:p>
            <w:pPr>
              <w:pStyle w:val="15"/>
              <w:rPr>
                <w:color w:val="auto"/>
              </w:rPr>
            </w:pPr>
          </w:p>
        </w:tc>
        <w:tc>
          <w:tcPr>
            <w:tcW w:w="2835" w:type="dxa"/>
            <w:vAlign w:val="center"/>
          </w:tcPr>
          <w:p>
            <w:pPr>
              <w:pStyle w:val="15"/>
              <w:rPr>
                <w:color w:val="auto"/>
              </w:rPr>
            </w:pPr>
            <w:r>
              <w:rPr>
                <w:color w:val="auto"/>
              </w:rPr>
              <w:t>工作完成的时效</w:t>
            </w:r>
          </w:p>
          <w:p>
            <w:pPr>
              <w:pStyle w:val="15"/>
              <w:rPr>
                <w:color w:val="auto"/>
              </w:rPr>
            </w:pP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经济效益指标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项目对社会效益提升比</w:t>
            </w:r>
          </w:p>
        </w:tc>
        <w:tc>
          <w:tcPr>
            <w:tcW w:w="2835" w:type="dxa"/>
            <w:vAlign w:val="center"/>
          </w:tcPr>
          <w:p>
            <w:pPr>
              <w:pStyle w:val="15"/>
              <w:rPr>
                <w:color w:val="auto"/>
              </w:rPr>
            </w:pPr>
            <w:r>
              <w:rPr>
                <w:color w:val="auto"/>
              </w:rPr>
              <w:t>项目对社会效益提升比值</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项目对生态效益提升比</w:t>
            </w:r>
          </w:p>
        </w:tc>
        <w:tc>
          <w:tcPr>
            <w:tcW w:w="2835" w:type="dxa"/>
            <w:vAlign w:val="center"/>
          </w:tcPr>
          <w:p>
            <w:pPr>
              <w:pStyle w:val="15"/>
              <w:rPr>
                <w:color w:val="auto"/>
              </w:rPr>
            </w:pPr>
            <w:r>
              <w:rPr>
                <w:color w:val="auto"/>
              </w:rPr>
              <w:t>项目对生态效益提升比值</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可持续性</w:t>
            </w:r>
          </w:p>
        </w:tc>
        <w:tc>
          <w:tcPr>
            <w:tcW w:w="2835" w:type="dxa"/>
            <w:vAlign w:val="center"/>
          </w:tcPr>
          <w:p>
            <w:pPr>
              <w:pStyle w:val="15"/>
              <w:rPr>
                <w:color w:val="auto"/>
              </w:rPr>
            </w:pPr>
            <w:r>
              <w:rPr>
                <w:color w:val="auto"/>
              </w:rPr>
              <w:t>可持续性</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调查中满意和较满意的人数占调查总人数的比率</w:t>
            </w:r>
          </w:p>
        </w:tc>
        <w:tc>
          <w:tcPr>
            <w:tcW w:w="2551" w:type="dxa"/>
            <w:vAlign w:val="center"/>
          </w:tcPr>
          <w:p>
            <w:pPr>
              <w:pStyle w:val="15"/>
              <w:rPr>
                <w:color w:val="auto"/>
              </w:rPr>
            </w:pPr>
            <w:r>
              <w:rPr>
                <w:color w:val="auto"/>
              </w:rPr>
              <w:t>≤98百分比</w:t>
            </w:r>
          </w:p>
        </w:tc>
        <w:tc>
          <w:tcPr>
            <w:tcW w:w="2268" w:type="dxa"/>
            <w:vAlign w:val="center"/>
          </w:tcPr>
          <w:p>
            <w:pPr>
              <w:pStyle w:val="15"/>
              <w:rPr>
                <w:rFonts w:hint="eastAsia" w:eastAsia="方正书宋_GBK"/>
                <w:color w:val="auto"/>
                <w:lang w:eastAsia="zh-CN"/>
              </w:rPr>
            </w:pPr>
            <w:r>
              <w:rPr>
                <w:rFonts w:hint="eastAsia"/>
                <w:color w:val="auto"/>
                <w:lang w:eastAsia="zh-CN"/>
              </w:rPr>
              <w:t>问卷调查</w:t>
            </w:r>
          </w:p>
        </w:tc>
      </w:tr>
    </w:tbl>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0" w:after="0"/>
        <w:ind w:firstLine="560"/>
        <w:jc w:val="left"/>
        <w:outlineLvl w:val="9"/>
        <w:rPr>
          <w:color w:val="auto"/>
        </w:rPr>
      </w:pPr>
      <w:r>
        <w:rPr>
          <w:rFonts w:ascii="方正仿宋_GBK" w:hAnsi="方正仿宋_GBK" w:eastAsia="方正仿宋_GBK" w:cs="方正仿宋_GBK"/>
          <w:b/>
          <w:color w:val="auto"/>
          <w:sz w:val="28"/>
        </w:rPr>
        <w:t>16、冀财建【2021】238号（58）提前下达2022年农村公路建设养护发展专项资金（农村公路养护补助）绩效目标表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1.按计划完成上级下达的工作任务。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道路里程</w:t>
            </w:r>
          </w:p>
        </w:tc>
        <w:tc>
          <w:tcPr>
            <w:tcW w:w="2835" w:type="dxa"/>
            <w:vAlign w:val="center"/>
          </w:tcPr>
          <w:p>
            <w:pPr>
              <w:pStyle w:val="15"/>
              <w:rPr>
                <w:color w:val="auto"/>
              </w:rPr>
            </w:pPr>
            <w:r>
              <w:rPr>
                <w:color w:val="auto"/>
              </w:rPr>
              <w:t>道路里程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验收合格率</w:t>
            </w:r>
          </w:p>
        </w:tc>
        <w:tc>
          <w:tcPr>
            <w:tcW w:w="2835" w:type="dxa"/>
            <w:vAlign w:val="center"/>
          </w:tcPr>
          <w:p>
            <w:pPr>
              <w:pStyle w:val="15"/>
              <w:rPr>
                <w:color w:val="auto"/>
              </w:rPr>
            </w:pPr>
            <w:r>
              <w:rPr>
                <w:color w:val="auto"/>
              </w:rPr>
              <w:t>验收合格率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工作完成的时效</w:t>
            </w:r>
          </w:p>
          <w:p>
            <w:pPr>
              <w:pStyle w:val="15"/>
              <w:rPr>
                <w:color w:val="auto"/>
              </w:rPr>
            </w:pPr>
          </w:p>
        </w:tc>
        <w:tc>
          <w:tcPr>
            <w:tcW w:w="2835" w:type="dxa"/>
            <w:vAlign w:val="center"/>
          </w:tcPr>
          <w:p>
            <w:pPr>
              <w:pStyle w:val="15"/>
              <w:rPr>
                <w:color w:val="auto"/>
              </w:rPr>
            </w:pPr>
            <w:r>
              <w:rPr>
                <w:color w:val="auto"/>
              </w:rPr>
              <w:t>工作完成的时效</w:t>
            </w:r>
          </w:p>
          <w:p>
            <w:pPr>
              <w:pStyle w:val="15"/>
              <w:rPr>
                <w:color w:val="auto"/>
              </w:rPr>
            </w:pP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经济效益指标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项目对社会效益提升比</w:t>
            </w:r>
          </w:p>
        </w:tc>
        <w:tc>
          <w:tcPr>
            <w:tcW w:w="2835" w:type="dxa"/>
            <w:vAlign w:val="center"/>
          </w:tcPr>
          <w:p>
            <w:pPr>
              <w:pStyle w:val="15"/>
              <w:rPr>
                <w:color w:val="auto"/>
              </w:rPr>
            </w:pPr>
            <w:r>
              <w:rPr>
                <w:color w:val="auto"/>
              </w:rPr>
              <w:t>项目对社会效益提升比值</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项目对生态效益提升比</w:t>
            </w:r>
          </w:p>
        </w:tc>
        <w:tc>
          <w:tcPr>
            <w:tcW w:w="2835" w:type="dxa"/>
            <w:vAlign w:val="center"/>
          </w:tcPr>
          <w:p>
            <w:pPr>
              <w:pStyle w:val="15"/>
              <w:rPr>
                <w:color w:val="auto"/>
              </w:rPr>
            </w:pPr>
            <w:r>
              <w:rPr>
                <w:color w:val="auto"/>
              </w:rPr>
              <w:t>项目对生态效益提升比值</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可持续性</w:t>
            </w:r>
          </w:p>
        </w:tc>
        <w:tc>
          <w:tcPr>
            <w:tcW w:w="2835" w:type="dxa"/>
            <w:vAlign w:val="center"/>
          </w:tcPr>
          <w:p>
            <w:pPr>
              <w:pStyle w:val="15"/>
              <w:rPr>
                <w:color w:val="auto"/>
              </w:rPr>
            </w:pPr>
            <w:r>
              <w:rPr>
                <w:color w:val="auto"/>
              </w:rPr>
              <w:t>可持续性</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调查中满意和较满意的人数占调查总人数的比率</w:t>
            </w:r>
          </w:p>
        </w:tc>
        <w:tc>
          <w:tcPr>
            <w:tcW w:w="2551" w:type="dxa"/>
            <w:vAlign w:val="center"/>
          </w:tcPr>
          <w:p>
            <w:pPr>
              <w:pStyle w:val="15"/>
              <w:rPr>
                <w:color w:val="auto"/>
              </w:rPr>
            </w:pPr>
            <w:r>
              <w:rPr>
                <w:color w:val="auto"/>
              </w:rPr>
              <w:t>≤98百分比</w:t>
            </w:r>
          </w:p>
        </w:tc>
        <w:tc>
          <w:tcPr>
            <w:tcW w:w="2268" w:type="dxa"/>
            <w:vAlign w:val="center"/>
          </w:tcPr>
          <w:p>
            <w:pPr>
              <w:pStyle w:val="15"/>
              <w:rPr>
                <w:rFonts w:hint="eastAsia" w:eastAsia="方正书宋_GBK"/>
                <w:color w:val="auto"/>
                <w:lang w:eastAsia="zh-CN"/>
              </w:rPr>
            </w:pPr>
            <w:r>
              <w:rPr>
                <w:rFonts w:hint="eastAsia"/>
                <w:color w:val="auto"/>
                <w:lang w:eastAsia="zh-CN"/>
              </w:rPr>
              <w:t>问卷调查</w:t>
            </w:r>
          </w:p>
        </w:tc>
      </w:tr>
    </w:tbl>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0" w:after="0"/>
        <w:ind w:firstLine="560"/>
        <w:jc w:val="left"/>
        <w:outlineLvl w:val="9"/>
        <w:rPr>
          <w:color w:val="auto"/>
        </w:rPr>
      </w:pPr>
      <w:r>
        <w:rPr>
          <w:rFonts w:ascii="方正仿宋_GBK" w:hAnsi="方正仿宋_GBK" w:eastAsia="方正仿宋_GBK" w:cs="方正仿宋_GBK"/>
          <w:b/>
          <w:color w:val="auto"/>
          <w:sz w:val="28"/>
        </w:rPr>
        <w:t>17、冀财农[2021]143号（非贫困村）交通局农村公路建设项目726绩效目标表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1.按上级要求完成任务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新改建农村公路里程（公里）</w:t>
            </w:r>
          </w:p>
        </w:tc>
        <w:tc>
          <w:tcPr>
            <w:tcW w:w="2835" w:type="dxa"/>
            <w:vAlign w:val="center"/>
          </w:tcPr>
          <w:p>
            <w:pPr>
              <w:pStyle w:val="15"/>
              <w:rPr>
                <w:color w:val="auto"/>
              </w:rPr>
            </w:pPr>
            <w:r>
              <w:rPr>
                <w:color w:val="auto"/>
              </w:rPr>
              <w:t>新改建农村公路里程（公里）</w:t>
            </w:r>
          </w:p>
        </w:tc>
        <w:tc>
          <w:tcPr>
            <w:tcW w:w="2551" w:type="dxa"/>
            <w:vAlign w:val="center"/>
          </w:tcPr>
          <w:p>
            <w:pPr>
              <w:pStyle w:val="15"/>
              <w:rPr>
                <w:color w:val="auto"/>
              </w:rPr>
            </w:pPr>
            <w:r>
              <w:rPr>
                <w:color w:val="auto"/>
              </w:rPr>
              <w:t>58公里</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质量合格率(%)</w:t>
            </w:r>
          </w:p>
        </w:tc>
        <w:tc>
          <w:tcPr>
            <w:tcW w:w="2835" w:type="dxa"/>
            <w:vAlign w:val="center"/>
          </w:tcPr>
          <w:p>
            <w:pPr>
              <w:pStyle w:val="15"/>
              <w:rPr>
                <w:color w:val="auto"/>
              </w:rPr>
            </w:pPr>
            <w:r>
              <w:rPr>
                <w:color w:val="auto"/>
              </w:rPr>
              <w:t>质量合格率(%)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工作任务完成及时率</w:t>
            </w:r>
          </w:p>
        </w:tc>
        <w:tc>
          <w:tcPr>
            <w:tcW w:w="2835" w:type="dxa"/>
            <w:vAlign w:val="center"/>
          </w:tcPr>
          <w:p>
            <w:pPr>
              <w:pStyle w:val="15"/>
              <w:rPr>
                <w:color w:val="auto"/>
              </w:rPr>
            </w:pPr>
            <w:r>
              <w:rPr>
                <w:color w:val="auto"/>
              </w:rPr>
              <w:t>工作任务完成及时率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提高效率</w:t>
            </w:r>
          </w:p>
        </w:tc>
        <w:tc>
          <w:tcPr>
            <w:tcW w:w="2835" w:type="dxa"/>
            <w:vAlign w:val="center"/>
          </w:tcPr>
          <w:p>
            <w:pPr>
              <w:pStyle w:val="15"/>
              <w:rPr>
                <w:color w:val="auto"/>
              </w:rPr>
            </w:pPr>
            <w:r>
              <w:rPr>
                <w:color w:val="auto"/>
              </w:rPr>
              <w:t>提高效率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社会影响力</w:t>
            </w:r>
          </w:p>
        </w:tc>
        <w:tc>
          <w:tcPr>
            <w:tcW w:w="2835" w:type="dxa"/>
            <w:vAlign w:val="center"/>
          </w:tcPr>
          <w:p>
            <w:pPr>
              <w:pStyle w:val="15"/>
              <w:rPr>
                <w:color w:val="auto"/>
              </w:rPr>
            </w:pPr>
            <w:r>
              <w:rPr>
                <w:color w:val="auto"/>
              </w:rPr>
              <w:t>社会影响力</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改善生态环境质量</w:t>
            </w:r>
          </w:p>
        </w:tc>
        <w:tc>
          <w:tcPr>
            <w:tcW w:w="2835" w:type="dxa"/>
            <w:vAlign w:val="center"/>
          </w:tcPr>
          <w:p>
            <w:pPr>
              <w:pStyle w:val="15"/>
              <w:rPr>
                <w:color w:val="auto"/>
              </w:rPr>
            </w:pPr>
            <w:r>
              <w:rPr>
                <w:color w:val="auto"/>
              </w:rPr>
              <w:t>改善生态环境质量</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长期使用性</w:t>
            </w:r>
          </w:p>
        </w:tc>
        <w:tc>
          <w:tcPr>
            <w:tcW w:w="2835" w:type="dxa"/>
            <w:vAlign w:val="center"/>
          </w:tcPr>
          <w:p>
            <w:pPr>
              <w:pStyle w:val="15"/>
              <w:rPr>
                <w:color w:val="auto"/>
              </w:rPr>
            </w:pPr>
            <w:r>
              <w:rPr>
                <w:color w:val="auto"/>
              </w:rPr>
              <w:t>长期使用性</w:t>
            </w:r>
          </w:p>
        </w:tc>
        <w:tc>
          <w:tcPr>
            <w:tcW w:w="2551" w:type="dxa"/>
            <w:vAlign w:val="center"/>
          </w:tcPr>
          <w:p>
            <w:pPr>
              <w:pStyle w:val="15"/>
              <w:rPr>
                <w:color w:val="auto"/>
              </w:rPr>
            </w:pPr>
            <w:r>
              <w:rPr>
                <w:color w:val="auto"/>
              </w:rPr>
              <w:t>≥98优良中差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服务对象满意度</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0" w:after="0"/>
        <w:ind w:firstLine="560"/>
        <w:jc w:val="left"/>
        <w:outlineLvl w:val="9"/>
        <w:rPr>
          <w:color w:val="auto"/>
        </w:rPr>
      </w:pPr>
      <w:r>
        <w:rPr>
          <w:rFonts w:ascii="方正仿宋_GBK" w:hAnsi="方正仿宋_GBK" w:eastAsia="方正仿宋_GBK" w:cs="方正仿宋_GBK"/>
          <w:b/>
          <w:color w:val="auto"/>
          <w:sz w:val="28"/>
        </w:rPr>
        <w:t>18、冀财农[2021]143号（贫困村）交通局农村公路建设项目1274绩效目标表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新改建农村公路里程（公里）</w:t>
            </w:r>
          </w:p>
        </w:tc>
        <w:tc>
          <w:tcPr>
            <w:tcW w:w="2835" w:type="dxa"/>
            <w:vAlign w:val="center"/>
          </w:tcPr>
          <w:p>
            <w:pPr>
              <w:pStyle w:val="15"/>
              <w:rPr>
                <w:color w:val="auto"/>
              </w:rPr>
            </w:pPr>
            <w:r>
              <w:rPr>
                <w:color w:val="auto"/>
              </w:rPr>
              <w:t>新改建农村公路里程（公里）</w:t>
            </w:r>
          </w:p>
        </w:tc>
        <w:tc>
          <w:tcPr>
            <w:tcW w:w="2551" w:type="dxa"/>
            <w:vAlign w:val="center"/>
          </w:tcPr>
          <w:p>
            <w:pPr>
              <w:pStyle w:val="15"/>
              <w:rPr>
                <w:color w:val="auto"/>
              </w:rPr>
            </w:pPr>
            <w:r>
              <w:rPr>
                <w:color w:val="auto"/>
              </w:rPr>
              <w:t>58公里</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质量合格率(%)</w:t>
            </w:r>
          </w:p>
        </w:tc>
        <w:tc>
          <w:tcPr>
            <w:tcW w:w="2835" w:type="dxa"/>
            <w:vAlign w:val="center"/>
          </w:tcPr>
          <w:p>
            <w:pPr>
              <w:pStyle w:val="15"/>
              <w:rPr>
                <w:color w:val="auto"/>
              </w:rPr>
            </w:pPr>
            <w:r>
              <w:rPr>
                <w:color w:val="auto"/>
              </w:rPr>
              <w:t>质量合格率(%)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工作任务完成及时率</w:t>
            </w:r>
          </w:p>
        </w:tc>
        <w:tc>
          <w:tcPr>
            <w:tcW w:w="2835" w:type="dxa"/>
            <w:vAlign w:val="center"/>
          </w:tcPr>
          <w:p>
            <w:pPr>
              <w:pStyle w:val="15"/>
              <w:rPr>
                <w:color w:val="auto"/>
              </w:rPr>
            </w:pPr>
            <w:r>
              <w:rPr>
                <w:color w:val="auto"/>
              </w:rPr>
              <w:t>工作任务完成及时率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提高效率</w:t>
            </w:r>
          </w:p>
        </w:tc>
        <w:tc>
          <w:tcPr>
            <w:tcW w:w="2835" w:type="dxa"/>
            <w:vAlign w:val="center"/>
          </w:tcPr>
          <w:p>
            <w:pPr>
              <w:pStyle w:val="15"/>
              <w:rPr>
                <w:color w:val="auto"/>
              </w:rPr>
            </w:pPr>
            <w:r>
              <w:rPr>
                <w:color w:val="auto"/>
              </w:rPr>
              <w:t>提高效率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社会影响力</w:t>
            </w:r>
          </w:p>
        </w:tc>
        <w:tc>
          <w:tcPr>
            <w:tcW w:w="2835" w:type="dxa"/>
            <w:vAlign w:val="center"/>
          </w:tcPr>
          <w:p>
            <w:pPr>
              <w:pStyle w:val="15"/>
              <w:rPr>
                <w:color w:val="auto"/>
              </w:rPr>
            </w:pPr>
            <w:r>
              <w:rPr>
                <w:color w:val="auto"/>
              </w:rPr>
              <w:t>社会影响力</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改善生态环境质量</w:t>
            </w:r>
          </w:p>
        </w:tc>
        <w:tc>
          <w:tcPr>
            <w:tcW w:w="2835" w:type="dxa"/>
            <w:vAlign w:val="center"/>
          </w:tcPr>
          <w:p>
            <w:pPr>
              <w:pStyle w:val="15"/>
              <w:rPr>
                <w:color w:val="auto"/>
              </w:rPr>
            </w:pPr>
            <w:r>
              <w:rPr>
                <w:color w:val="auto"/>
              </w:rPr>
              <w:t>改善生态环境质量</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长期使用性</w:t>
            </w:r>
          </w:p>
        </w:tc>
        <w:tc>
          <w:tcPr>
            <w:tcW w:w="2835" w:type="dxa"/>
            <w:vAlign w:val="center"/>
          </w:tcPr>
          <w:p>
            <w:pPr>
              <w:pStyle w:val="15"/>
              <w:rPr>
                <w:color w:val="auto"/>
              </w:rPr>
            </w:pPr>
            <w:r>
              <w:rPr>
                <w:color w:val="auto"/>
              </w:rPr>
              <w:t>长期使用性</w:t>
            </w:r>
          </w:p>
        </w:tc>
        <w:tc>
          <w:tcPr>
            <w:tcW w:w="2551" w:type="dxa"/>
            <w:vAlign w:val="center"/>
          </w:tcPr>
          <w:p>
            <w:pPr>
              <w:pStyle w:val="15"/>
              <w:rPr>
                <w:color w:val="auto"/>
              </w:rPr>
            </w:pPr>
            <w:r>
              <w:rPr>
                <w:color w:val="auto"/>
              </w:rPr>
              <w:t>≥98优良中差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服务对象满意度</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spacing w:before="0" w:after="0"/>
        <w:ind w:firstLine="560"/>
        <w:jc w:val="left"/>
        <w:outlineLvl w:val="9"/>
        <w:rPr>
          <w:color w:val="auto"/>
        </w:rPr>
      </w:pPr>
      <w:r>
        <w:rPr>
          <w:rFonts w:ascii="方正仿宋_GBK" w:hAnsi="方正仿宋_GBK" w:eastAsia="方正仿宋_GBK" w:cs="方正仿宋_GBK"/>
          <w:b/>
          <w:color w:val="auto"/>
          <w:sz w:val="28"/>
        </w:rPr>
        <w:t>19、冀财农【2022】85号2022年中央农村综合改革转移支付预算用于：交通局农村公路建设项目（贫困村）绩效目标表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1.按上级要求，完成下达的各项工作任务。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新建改建公路里程</w:t>
            </w:r>
          </w:p>
        </w:tc>
        <w:tc>
          <w:tcPr>
            <w:tcW w:w="2835" w:type="dxa"/>
            <w:vAlign w:val="center"/>
          </w:tcPr>
          <w:p>
            <w:pPr>
              <w:pStyle w:val="15"/>
              <w:rPr>
                <w:color w:val="auto"/>
              </w:rPr>
            </w:pPr>
            <w:r>
              <w:rPr>
                <w:color w:val="auto"/>
              </w:rPr>
              <w:t>涉及新建改建里程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质量合格率(%)</w:t>
            </w:r>
          </w:p>
        </w:tc>
        <w:tc>
          <w:tcPr>
            <w:tcW w:w="2835" w:type="dxa"/>
            <w:vAlign w:val="center"/>
          </w:tcPr>
          <w:p>
            <w:pPr>
              <w:pStyle w:val="15"/>
              <w:rPr>
                <w:color w:val="auto"/>
              </w:rPr>
            </w:pPr>
            <w:r>
              <w:rPr>
                <w:color w:val="auto"/>
              </w:rPr>
              <w:t>质量合格率(%)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工作任务完成及时率</w:t>
            </w:r>
          </w:p>
        </w:tc>
        <w:tc>
          <w:tcPr>
            <w:tcW w:w="2835" w:type="dxa"/>
            <w:vAlign w:val="center"/>
          </w:tcPr>
          <w:p>
            <w:pPr>
              <w:pStyle w:val="15"/>
              <w:rPr>
                <w:color w:val="auto"/>
              </w:rPr>
            </w:pPr>
            <w:r>
              <w:rPr>
                <w:color w:val="auto"/>
              </w:rPr>
              <w:t>工作任务完成及时率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资金的使用效率</w:t>
            </w:r>
          </w:p>
        </w:tc>
        <w:tc>
          <w:tcPr>
            <w:tcW w:w="2835" w:type="dxa"/>
            <w:vAlign w:val="center"/>
          </w:tcPr>
          <w:p>
            <w:pPr>
              <w:pStyle w:val="15"/>
              <w:rPr>
                <w:color w:val="auto"/>
              </w:rPr>
            </w:pPr>
            <w:r>
              <w:rPr>
                <w:color w:val="auto"/>
              </w:rPr>
              <w:t>资金的使用效率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对社会发展带来促进作用</w:t>
            </w:r>
          </w:p>
        </w:tc>
        <w:tc>
          <w:tcPr>
            <w:tcW w:w="2835" w:type="dxa"/>
            <w:vAlign w:val="center"/>
          </w:tcPr>
          <w:p>
            <w:pPr>
              <w:pStyle w:val="15"/>
              <w:rPr>
                <w:color w:val="auto"/>
              </w:rPr>
            </w:pPr>
            <w:r>
              <w:rPr>
                <w:color w:val="auto"/>
              </w:rPr>
              <w:t>对社会发展带来促进作用</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服务对象满意度</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年度工作计划</w:t>
            </w:r>
          </w:p>
        </w:tc>
      </w:tr>
    </w:tbl>
    <w:p>
      <w:pPr>
        <w:rPr>
          <w:color w:val="auto"/>
        </w:rPr>
        <w:sectPr>
          <w:pgSz w:w="16840" w:h="11900" w:orient="landscape"/>
          <w:pgMar w:top="1361" w:right="1020" w:bottom="1134" w:left="1020" w:header="720" w:footer="720" w:gutter="0"/>
          <w:cols w:space="720" w:num="1"/>
        </w:sectPr>
      </w:pPr>
    </w:p>
    <w:p>
      <w:pPr>
        <w:spacing w:before="0" w:after="0"/>
        <w:ind w:firstLine="560"/>
        <w:jc w:val="left"/>
        <w:outlineLvl w:val="9"/>
        <w:rPr>
          <w:color w:val="auto"/>
        </w:rPr>
      </w:pPr>
      <w:r>
        <w:rPr>
          <w:rFonts w:ascii="方正仿宋_GBK" w:hAnsi="方正仿宋_GBK" w:eastAsia="方正仿宋_GBK" w:cs="方正仿宋_GBK"/>
          <w:b/>
          <w:color w:val="auto"/>
          <w:sz w:val="28"/>
        </w:rPr>
        <w:t>20、交通运输局拨付涞源县北京环线至东团堡公路汤子岭隧道改造项目的工程款（预算内）绩效目标表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rPr>
                <w:color w:val="auto"/>
              </w:rPr>
            </w:pPr>
            <w:r>
              <w:rPr>
                <w:color w:val="auto"/>
              </w:rPr>
              <w:t>绩效目标</w:t>
            </w:r>
          </w:p>
        </w:tc>
        <w:tc>
          <w:tcPr>
            <w:tcW w:w="12756" w:type="dxa"/>
            <w:tcBorders>
              <w:bottom w:val="single" w:color="FFFFFF" w:sz="6" w:space="0"/>
            </w:tcBorders>
            <w:vAlign w:val="center"/>
          </w:tcPr>
          <w:p>
            <w:pPr>
              <w:pStyle w:val="15"/>
              <w:rPr>
                <w:color w:val="auto"/>
              </w:rPr>
            </w:pPr>
            <w:r>
              <w:rPr>
                <w:color w:val="auto"/>
              </w:rPr>
              <w:t>1.按要求，完成上级下达的各项任务。</w:t>
            </w:r>
          </w:p>
        </w:tc>
      </w:tr>
    </w:tbl>
    <w:p>
      <w:pPr>
        <w:spacing w:before="0" w:after="0" w:line="2" w:lineRule="exact"/>
        <w:ind w:firstLine="0"/>
        <w:jc w:val="center"/>
        <w:outlineLvl w:val="9"/>
        <w:rPr>
          <w:color w:val="auto"/>
        </w:rPr>
      </w:pPr>
      <w:r>
        <w:rPr>
          <w:rFonts w:ascii="方正书宋_GBK" w:hAnsi="方正书宋_GBK" w:eastAsia="方正书宋_GBK" w:cs="方正书宋_GBK"/>
          <w:color w:val="auto"/>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rPr>
                <w:color w:val="auto"/>
              </w:rPr>
            </w:pPr>
            <w:r>
              <w:rPr>
                <w:color w:val="auto"/>
              </w:rPr>
              <w:t>一级指标</w:t>
            </w:r>
          </w:p>
        </w:tc>
        <w:tc>
          <w:tcPr>
            <w:tcW w:w="2268" w:type="dxa"/>
            <w:vAlign w:val="center"/>
          </w:tcPr>
          <w:p>
            <w:pPr>
              <w:pStyle w:val="13"/>
              <w:rPr>
                <w:color w:val="auto"/>
              </w:rPr>
            </w:pPr>
            <w:r>
              <w:rPr>
                <w:color w:val="auto"/>
              </w:rPr>
              <w:t>二级指标</w:t>
            </w:r>
          </w:p>
        </w:tc>
        <w:tc>
          <w:tcPr>
            <w:tcW w:w="2835" w:type="dxa"/>
            <w:vAlign w:val="center"/>
          </w:tcPr>
          <w:p>
            <w:pPr>
              <w:pStyle w:val="13"/>
              <w:rPr>
                <w:color w:val="auto"/>
              </w:rPr>
            </w:pPr>
            <w:r>
              <w:rPr>
                <w:color w:val="auto"/>
              </w:rPr>
              <w:t>三级指标</w:t>
            </w:r>
          </w:p>
        </w:tc>
        <w:tc>
          <w:tcPr>
            <w:tcW w:w="2835" w:type="dxa"/>
            <w:vAlign w:val="center"/>
          </w:tcPr>
          <w:p>
            <w:pPr>
              <w:pStyle w:val="13"/>
              <w:rPr>
                <w:color w:val="auto"/>
              </w:rPr>
            </w:pPr>
            <w:r>
              <w:rPr>
                <w:color w:val="auto"/>
              </w:rPr>
              <w:t>绩效指标描述</w:t>
            </w:r>
          </w:p>
        </w:tc>
        <w:tc>
          <w:tcPr>
            <w:tcW w:w="2551" w:type="dxa"/>
            <w:vAlign w:val="center"/>
          </w:tcPr>
          <w:p>
            <w:pPr>
              <w:pStyle w:val="13"/>
              <w:rPr>
                <w:color w:val="auto"/>
              </w:rPr>
            </w:pPr>
            <w:r>
              <w:rPr>
                <w:color w:val="auto"/>
              </w:rPr>
              <w:t>指标值</w:t>
            </w:r>
          </w:p>
        </w:tc>
        <w:tc>
          <w:tcPr>
            <w:tcW w:w="2268" w:type="dxa"/>
            <w:vAlign w:val="center"/>
          </w:tcPr>
          <w:p>
            <w:pPr>
              <w:pStyle w:val="13"/>
              <w:rPr>
                <w:color w:val="auto"/>
              </w:rPr>
            </w:pPr>
            <w:r>
              <w:rPr>
                <w:color w:val="auto"/>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产出指标</w:t>
            </w:r>
          </w:p>
        </w:tc>
        <w:tc>
          <w:tcPr>
            <w:tcW w:w="2268" w:type="dxa"/>
            <w:vAlign w:val="center"/>
          </w:tcPr>
          <w:p>
            <w:pPr>
              <w:pStyle w:val="15"/>
              <w:rPr>
                <w:color w:val="auto"/>
              </w:rPr>
            </w:pPr>
            <w:r>
              <w:rPr>
                <w:color w:val="auto"/>
              </w:rPr>
              <w:t>数量指标</w:t>
            </w:r>
          </w:p>
        </w:tc>
        <w:tc>
          <w:tcPr>
            <w:tcW w:w="2835" w:type="dxa"/>
            <w:vAlign w:val="center"/>
          </w:tcPr>
          <w:p>
            <w:pPr>
              <w:pStyle w:val="15"/>
              <w:rPr>
                <w:color w:val="auto"/>
              </w:rPr>
            </w:pPr>
            <w:r>
              <w:rPr>
                <w:color w:val="auto"/>
              </w:rPr>
              <w:t>道路里程</w:t>
            </w:r>
          </w:p>
        </w:tc>
        <w:tc>
          <w:tcPr>
            <w:tcW w:w="2835" w:type="dxa"/>
            <w:vAlign w:val="center"/>
          </w:tcPr>
          <w:p>
            <w:pPr>
              <w:pStyle w:val="15"/>
              <w:rPr>
                <w:color w:val="auto"/>
              </w:rPr>
            </w:pPr>
            <w:r>
              <w:rPr>
                <w:color w:val="auto"/>
              </w:rPr>
              <w:t>道路里程</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质量指标</w:t>
            </w:r>
          </w:p>
        </w:tc>
        <w:tc>
          <w:tcPr>
            <w:tcW w:w="2835" w:type="dxa"/>
            <w:vAlign w:val="center"/>
          </w:tcPr>
          <w:p>
            <w:pPr>
              <w:pStyle w:val="15"/>
              <w:rPr>
                <w:color w:val="auto"/>
              </w:rPr>
            </w:pPr>
            <w:r>
              <w:rPr>
                <w:color w:val="auto"/>
              </w:rPr>
              <w:t>验收合格率</w:t>
            </w:r>
          </w:p>
        </w:tc>
        <w:tc>
          <w:tcPr>
            <w:tcW w:w="2835" w:type="dxa"/>
            <w:vAlign w:val="center"/>
          </w:tcPr>
          <w:p>
            <w:pPr>
              <w:pStyle w:val="15"/>
              <w:rPr>
                <w:color w:val="auto"/>
              </w:rPr>
            </w:pPr>
            <w:r>
              <w:rPr>
                <w:color w:val="auto"/>
              </w:rPr>
              <w:t>验收合格率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时效指标</w:t>
            </w:r>
          </w:p>
        </w:tc>
        <w:tc>
          <w:tcPr>
            <w:tcW w:w="2835" w:type="dxa"/>
            <w:vAlign w:val="center"/>
          </w:tcPr>
          <w:p>
            <w:pPr>
              <w:pStyle w:val="15"/>
              <w:rPr>
                <w:color w:val="auto"/>
              </w:rPr>
            </w:pPr>
            <w:r>
              <w:rPr>
                <w:color w:val="auto"/>
              </w:rPr>
              <w:t>工作完成的时效</w:t>
            </w:r>
          </w:p>
          <w:p>
            <w:pPr>
              <w:pStyle w:val="15"/>
              <w:rPr>
                <w:color w:val="auto"/>
              </w:rPr>
            </w:pPr>
          </w:p>
        </w:tc>
        <w:tc>
          <w:tcPr>
            <w:tcW w:w="2835" w:type="dxa"/>
            <w:vAlign w:val="center"/>
          </w:tcPr>
          <w:p>
            <w:pPr>
              <w:pStyle w:val="15"/>
              <w:rPr>
                <w:color w:val="auto"/>
              </w:rPr>
            </w:pPr>
            <w:r>
              <w:rPr>
                <w:color w:val="auto"/>
              </w:rPr>
              <w:t>工作完成的时效</w:t>
            </w:r>
          </w:p>
          <w:p>
            <w:pPr>
              <w:pStyle w:val="15"/>
              <w:rPr>
                <w:color w:val="auto"/>
              </w:rPr>
            </w:pP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成本指标</w:t>
            </w:r>
          </w:p>
        </w:tc>
        <w:tc>
          <w:tcPr>
            <w:tcW w:w="2835" w:type="dxa"/>
            <w:vAlign w:val="center"/>
          </w:tcPr>
          <w:p>
            <w:pPr>
              <w:pStyle w:val="15"/>
              <w:rPr>
                <w:color w:val="auto"/>
              </w:rPr>
            </w:pPr>
            <w:r>
              <w:rPr>
                <w:color w:val="auto"/>
              </w:rPr>
              <w:t>成本控制率(%)</w:t>
            </w:r>
          </w:p>
        </w:tc>
        <w:tc>
          <w:tcPr>
            <w:tcW w:w="2835" w:type="dxa"/>
            <w:vAlign w:val="center"/>
          </w:tcPr>
          <w:p>
            <w:pPr>
              <w:pStyle w:val="15"/>
              <w:rPr>
                <w:color w:val="auto"/>
              </w:rPr>
            </w:pPr>
            <w:r>
              <w:rPr>
                <w:color w:val="auto"/>
              </w:rPr>
              <w:t>成本控制率(%)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rPr>
                <w:color w:val="auto"/>
              </w:rPr>
            </w:pPr>
            <w:r>
              <w:rPr>
                <w:color w:val="auto"/>
              </w:rPr>
              <w:t>效益指标</w:t>
            </w:r>
          </w:p>
        </w:tc>
        <w:tc>
          <w:tcPr>
            <w:tcW w:w="2268"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经济效益指标</w:t>
            </w:r>
          </w:p>
        </w:tc>
        <w:tc>
          <w:tcPr>
            <w:tcW w:w="2835" w:type="dxa"/>
            <w:vAlign w:val="center"/>
          </w:tcPr>
          <w:p>
            <w:pPr>
              <w:pStyle w:val="15"/>
              <w:rPr>
                <w:color w:val="auto"/>
              </w:rPr>
            </w:pPr>
            <w:r>
              <w:rPr>
                <w:color w:val="auto"/>
              </w:rPr>
              <w:t>经济效益指标</w:t>
            </w:r>
          </w:p>
        </w:tc>
        <w:tc>
          <w:tcPr>
            <w:tcW w:w="2551" w:type="dxa"/>
            <w:vAlign w:val="center"/>
          </w:tcPr>
          <w:p>
            <w:pPr>
              <w:pStyle w:val="15"/>
              <w:rPr>
                <w:color w:val="auto"/>
              </w:rPr>
            </w:pPr>
            <w:r>
              <w:rPr>
                <w:color w:val="auto"/>
              </w:rPr>
              <w:t>100百分比</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社会效益指标</w:t>
            </w:r>
          </w:p>
        </w:tc>
        <w:tc>
          <w:tcPr>
            <w:tcW w:w="2835" w:type="dxa"/>
            <w:vAlign w:val="center"/>
          </w:tcPr>
          <w:p>
            <w:pPr>
              <w:pStyle w:val="15"/>
              <w:rPr>
                <w:color w:val="auto"/>
              </w:rPr>
            </w:pPr>
            <w:r>
              <w:rPr>
                <w:color w:val="auto"/>
              </w:rPr>
              <w:t>项目对社会效益提升比</w:t>
            </w:r>
          </w:p>
        </w:tc>
        <w:tc>
          <w:tcPr>
            <w:tcW w:w="2835" w:type="dxa"/>
            <w:vAlign w:val="center"/>
          </w:tcPr>
          <w:p>
            <w:pPr>
              <w:pStyle w:val="15"/>
              <w:rPr>
                <w:color w:val="auto"/>
              </w:rPr>
            </w:pPr>
            <w:r>
              <w:rPr>
                <w:color w:val="auto"/>
              </w:rPr>
              <w:t>项目对社会效益提升比值</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生态效益指标</w:t>
            </w:r>
          </w:p>
        </w:tc>
        <w:tc>
          <w:tcPr>
            <w:tcW w:w="2835" w:type="dxa"/>
            <w:vAlign w:val="center"/>
          </w:tcPr>
          <w:p>
            <w:pPr>
              <w:pStyle w:val="15"/>
              <w:rPr>
                <w:color w:val="auto"/>
              </w:rPr>
            </w:pPr>
            <w:r>
              <w:rPr>
                <w:color w:val="auto"/>
              </w:rPr>
              <w:t>项目对生态效益提升比</w:t>
            </w:r>
          </w:p>
        </w:tc>
        <w:tc>
          <w:tcPr>
            <w:tcW w:w="2835" w:type="dxa"/>
            <w:vAlign w:val="center"/>
          </w:tcPr>
          <w:p>
            <w:pPr>
              <w:pStyle w:val="15"/>
              <w:rPr>
                <w:color w:val="auto"/>
              </w:rPr>
            </w:pPr>
            <w:r>
              <w:rPr>
                <w:color w:val="auto"/>
              </w:rPr>
              <w:t>项目对生态效益提升比值</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rPr>
                <w:color w:val="auto"/>
              </w:rPr>
            </w:pPr>
          </w:p>
        </w:tc>
        <w:tc>
          <w:tcPr>
            <w:tcW w:w="2268" w:type="dxa"/>
            <w:vAlign w:val="center"/>
          </w:tcPr>
          <w:p>
            <w:pPr>
              <w:pStyle w:val="15"/>
              <w:rPr>
                <w:color w:val="auto"/>
              </w:rPr>
            </w:pPr>
            <w:r>
              <w:rPr>
                <w:color w:val="auto"/>
              </w:rPr>
              <w:t>可持续影响指标</w:t>
            </w:r>
          </w:p>
        </w:tc>
        <w:tc>
          <w:tcPr>
            <w:tcW w:w="2835" w:type="dxa"/>
            <w:vAlign w:val="center"/>
          </w:tcPr>
          <w:p>
            <w:pPr>
              <w:pStyle w:val="15"/>
              <w:rPr>
                <w:color w:val="auto"/>
              </w:rPr>
            </w:pPr>
            <w:r>
              <w:rPr>
                <w:color w:val="auto"/>
              </w:rPr>
              <w:t>可持续性</w:t>
            </w:r>
          </w:p>
        </w:tc>
        <w:tc>
          <w:tcPr>
            <w:tcW w:w="2835" w:type="dxa"/>
            <w:vAlign w:val="center"/>
          </w:tcPr>
          <w:p>
            <w:pPr>
              <w:pStyle w:val="15"/>
              <w:rPr>
                <w:color w:val="auto"/>
              </w:rPr>
            </w:pPr>
            <w:r>
              <w:rPr>
                <w:color w:val="auto"/>
              </w:rPr>
              <w:t>可持续性</w:t>
            </w:r>
          </w:p>
        </w:tc>
        <w:tc>
          <w:tcPr>
            <w:tcW w:w="2551" w:type="dxa"/>
            <w:vAlign w:val="center"/>
          </w:tcPr>
          <w:p>
            <w:pPr>
              <w:pStyle w:val="15"/>
              <w:rPr>
                <w:color w:val="auto"/>
              </w:rPr>
            </w:pPr>
            <w:r>
              <w:rPr>
                <w:color w:val="auto"/>
              </w:rPr>
              <w:t>100优良中差</w:t>
            </w:r>
          </w:p>
        </w:tc>
        <w:tc>
          <w:tcPr>
            <w:tcW w:w="2268" w:type="dxa"/>
            <w:vAlign w:val="center"/>
          </w:tcPr>
          <w:p>
            <w:pPr>
              <w:pStyle w:val="15"/>
              <w:rPr>
                <w:color w:val="auto"/>
              </w:rPr>
            </w:pPr>
            <w:r>
              <w:rPr>
                <w:color w:val="auto"/>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rPr>
                <w:color w:val="auto"/>
              </w:rPr>
            </w:pPr>
            <w:r>
              <w:rPr>
                <w:color w:val="auto"/>
              </w:rPr>
              <w:t>满意度指标</w:t>
            </w:r>
          </w:p>
        </w:tc>
        <w:tc>
          <w:tcPr>
            <w:tcW w:w="2268" w:type="dxa"/>
            <w:vAlign w:val="center"/>
          </w:tcPr>
          <w:p>
            <w:pPr>
              <w:pStyle w:val="15"/>
              <w:rPr>
                <w:color w:val="auto"/>
              </w:rPr>
            </w:pPr>
            <w:r>
              <w:rPr>
                <w:color w:val="auto"/>
              </w:rPr>
              <w:t>服务对象满意度指标</w:t>
            </w:r>
          </w:p>
        </w:tc>
        <w:tc>
          <w:tcPr>
            <w:tcW w:w="2835" w:type="dxa"/>
            <w:vAlign w:val="center"/>
          </w:tcPr>
          <w:p>
            <w:pPr>
              <w:pStyle w:val="15"/>
              <w:rPr>
                <w:color w:val="auto"/>
              </w:rPr>
            </w:pPr>
            <w:r>
              <w:rPr>
                <w:color w:val="auto"/>
              </w:rPr>
              <w:t>服务对象满意度（%）</w:t>
            </w:r>
          </w:p>
        </w:tc>
        <w:tc>
          <w:tcPr>
            <w:tcW w:w="2835" w:type="dxa"/>
            <w:vAlign w:val="center"/>
          </w:tcPr>
          <w:p>
            <w:pPr>
              <w:pStyle w:val="15"/>
              <w:rPr>
                <w:color w:val="auto"/>
              </w:rPr>
            </w:pPr>
            <w:r>
              <w:rPr>
                <w:color w:val="auto"/>
              </w:rPr>
              <w:t>调查中满意和较满意的人数占调查总人数的比率</w:t>
            </w:r>
          </w:p>
        </w:tc>
        <w:tc>
          <w:tcPr>
            <w:tcW w:w="2551" w:type="dxa"/>
            <w:vAlign w:val="center"/>
          </w:tcPr>
          <w:p>
            <w:pPr>
              <w:pStyle w:val="15"/>
              <w:rPr>
                <w:color w:val="auto"/>
              </w:rPr>
            </w:pPr>
            <w:r>
              <w:rPr>
                <w:color w:val="auto"/>
              </w:rPr>
              <w:t>≥98百分比</w:t>
            </w:r>
          </w:p>
        </w:tc>
        <w:tc>
          <w:tcPr>
            <w:tcW w:w="2268" w:type="dxa"/>
            <w:vAlign w:val="center"/>
          </w:tcPr>
          <w:p>
            <w:pPr>
              <w:pStyle w:val="15"/>
              <w:rPr>
                <w:color w:val="auto"/>
              </w:rPr>
            </w:pPr>
            <w:r>
              <w:rPr>
                <w:color w:val="auto"/>
              </w:rPr>
              <w:t>工作计划</w:t>
            </w:r>
          </w:p>
        </w:tc>
      </w:tr>
    </w:tbl>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outlineLvl w:val="5"/>
        <w:rPr>
          <w:rFonts w:ascii="黑体" w:hAnsi="黑体" w:eastAsia="黑体" w:cs="黑体"/>
          <w:color w:val="auto"/>
          <w:sz w:val="32"/>
        </w:rPr>
      </w:pPr>
    </w:p>
    <w:p>
      <w:pPr>
        <w:spacing w:before="10" w:after="10"/>
        <w:ind w:firstLine="640" w:firstLineChars="200"/>
        <w:outlineLvl w:val="5"/>
        <w:rPr>
          <w:color w:val="auto"/>
        </w:rPr>
      </w:pPr>
      <w:r>
        <w:rPr>
          <w:rFonts w:ascii="黑体" w:hAnsi="黑体" w:eastAsia="黑体" w:cs="黑体"/>
          <w:color w:val="auto"/>
          <w:sz w:val="32"/>
        </w:rPr>
        <w:t>六、政府采购预算情况</w:t>
      </w:r>
    </w:p>
    <w:p>
      <w:pPr>
        <w:spacing w:line="500" w:lineRule="exact"/>
        <w:ind w:firstLine="560"/>
        <w:rPr>
          <w:color w:val="auto"/>
        </w:rPr>
      </w:pPr>
      <w:r>
        <w:rPr>
          <w:rFonts w:eastAsia="方正仿宋_GBK"/>
          <w:color w:val="auto"/>
          <w:sz w:val="28"/>
        </w:rPr>
        <w:t>2023年，</w:t>
      </w:r>
      <w:r>
        <w:rPr>
          <w:rFonts w:hint="eastAsia" w:eastAsia="方正仿宋_GBK"/>
          <w:color w:val="auto"/>
          <w:sz w:val="28"/>
          <w:lang w:val="en-US" w:eastAsia="zh-CN"/>
        </w:rPr>
        <w:t>涞源县交通运输局</w:t>
      </w:r>
      <w:r>
        <w:rPr>
          <w:rFonts w:eastAsia="方正仿宋_GBK"/>
          <w:color w:val="auto"/>
          <w:sz w:val="28"/>
        </w:rPr>
        <w:t>安排政府采购预算</w:t>
      </w:r>
      <w:r>
        <w:rPr>
          <w:rFonts w:hint="eastAsia" w:eastAsia="方正仿宋_GBK"/>
          <w:color w:val="auto"/>
          <w:sz w:val="28"/>
          <w:lang w:val="en-US" w:eastAsia="zh-CN"/>
        </w:rPr>
        <w:t>0.00</w:t>
      </w:r>
      <w:r>
        <w:rPr>
          <w:rFonts w:eastAsia="方正仿宋_GBK"/>
          <w:color w:val="auto"/>
          <w:sz w:val="28"/>
        </w:rPr>
        <w:t>万元。具体内容见下表。</w:t>
      </w:r>
    </w:p>
    <w:p>
      <w:pPr>
        <w:jc w:val="center"/>
        <w:rPr>
          <w:color w:val="auto"/>
        </w:rPr>
      </w:pPr>
      <w:r>
        <w:rPr>
          <w:rFonts w:ascii="方正小标宋_GBK" w:hAnsi="方正小标宋_GBK" w:eastAsia="方正小标宋_GBK" w:cs="方正小标宋_GBK"/>
          <w:color w:val="auto"/>
          <w:sz w:val="36"/>
        </w:rPr>
        <w:t>单位政府采购预算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rPr>
                <w:rFonts w:hint="default" w:eastAsia="方正小标宋_GBK"/>
                <w:color w:val="auto"/>
                <w:lang w:val="en-US" w:eastAsia="zh-CN"/>
              </w:rPr>
            </w:pPr>
            <w:r>
              <w:rPr>
                <w:rFonts w:hint="eastAsia"/>
                <w:color w:val="auto"/>
                <w:lang w:val="en-US" w:eastAsia="zh-CN"/>
              </w:rPr>
              <w:t>348涞源县交通运输局</w:t>
            </w:r>
          </w:p>
        </w:tc>
        <w:tc>
          <w:tcPr>
            <w:tcW w:w="8676" w:type="dxa"/>
            <w:gridSpan w:val="9"/>
            <w:tcBorders>
              <w:top w:val="single" w:color="FFFFFF" w:sz="6" w:space="0"/>
              <w:left w:val="single" w:color="FFFFFF" w:sz="6" w:space="0"/>
              <w:right w:val="single" w:color="FFFFFF" w:sz="6" w:space="0"/>
            </w:tcBorders>
            <w:vAlign w:val="center"/>
          </w:tcPr>
          <w:p>
            <w:pPr>
              <w:pStyle w:val="27"/>
              <w:rPr>
                <w:color w:val="auto"/>
              </w:rPr>
            </w:pPr>
            <w:r>
              <w:rPr>
                <w:color w:val="auto"/>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rPr>
                <w:color w:val="auto"/>
              </w:rPr>
            </w:pPr>
            <w:r>
              <w:rPr>
                <w:color w:val="auto"/>
              </w:rPr>
              <w:t>政府采购项目来源</w:t>
            </w:r>
          </w:p>
        </w:tc>
        <w:tc>
          <w:tcPr>
            <w:tcW w:w="1134" w:type="dxa"/>
            <w:vMerge w:val="restart"/>
            <w:vAlign w:val="center"/>
          </w:tcPr>
          <w:p>
            <w:pPr>
              <w:pStyle w:val="13"/>
              <w:rPr>
                <w:color w:val="auto"/>
              </w:rPr>
            </w:pPr>
            <w:r>
              <w:rPr>
                <w:color w:val="auto"/>
              </w:rPr>
              <w:t>采购物品名称</w:t>
            </w:r>
          </w:p>
        </w:tc>
        <w:tc>
          <w:tcPr>
            <w:tcW w:w="1134" w:type="dxa"/>
            <w:vMerge w:val="restart"/>
            <w:vAlign w:val="center"/>
          </w:tcPr>
          <w:p>
            <w:pPr>
              <w:pStyle w:val="13"/>
              <w:rPr>
                <w:color w:val="auto"/>
              </w:rPr>
            </w:pPr>
            <w:r>
              <w:rPr>
                <w:color w:val="auto"/>
              </w:rPr>
              <w:t>政府采购目录序号</w:t>
            </w:r>
          </w:p>
        </w:tc>
        <w:tc>
          <w:tcPr>
            <w:tcW w:w="709" w:type="dxa"/>
            <w:vMerge w:val="restart"/>
            <w:vAlign w:val="center"/>
          </w:tcPr>
          <w:p>
            <w:pPr>
              <w:pStyle w:val="13"/>
              <w:rPr>
                <w:color w:val="auto"/>
              </w:rPr>
            </w:pPr>
            <w:r>
              <w:rPr>
                <w:color w:val="auto"/>
              </w:rPr>
              <w:t>计量  单位</w:t>
            </w:r>
          </w:p>
        </w:tc>
        <w:tc>
          <w:tcPr>
            <w:tcW w:w="850" w:type="dxa"/>
            <w:vMerge w:val="restart"/>
            <w:vAlign w:val="center"/>
          </w:tcPr>
          <w:p>
            <w:pPr>
              <w:pStyle w:val="13"/>
              <w:rPr>
                <w:color w:val="auto"/>
              </w:rPr>
            </w:pPr>
            <w:r>
              <w:rPr>
                <w:color w:val="auto"/>
              </w:rPr>
              <w:t>数量</w:t>
            </w:r>
          </w:p>
        </w:tc>
        <w:tc>
          <w:tcPr>
            <w:tcW w:w="850" w:type="dxa"/>
            <w:vMerge w:val="restart"/>
            <w:vAlign w:val="center"/>
          </w:tcPr>
          <w:p>
            <w:pPr>
              <w:pStyle w:val="13"/>
              <w:rPr>
                <w:color w:val="auto"/>
              </w:rPr>
            </w:pPr>
            <w:r>
              <w:rPr>
                <w:color w:val="auto"/>
              </w:rPr>
              <w:t>单价</w:t>
            </w:r>
          </w:p>
        </w:tc>
        <w:tc>
          <w:tcPr>
            <w:tcW w:w="7712" w:type="dxa"/>
            <w:gridSpan w:val="8"/>
            <w:vAlign w:val="center"/>
          </w:tcPr>
          <w:p>
            <w:pPr>
              <w:pStyle w:val="13"/>
              <w:rPr>
                <w:color w:val="auto"/>
              </w:rPr>
            </w:pPr>
            <w:r>
              <w:rPr>
                <w:color w:val="auto"/>
              </w:rPr>
              <w:t>政府采购金额（当年部门预算安排资金）</w:t>
            </w:r>
          </w:p>
        </w:tc>
        <w:tc>
          <w:tcPr>
            <w:tcW w:w="964" w:type="dxa"/>
            <w:vMerge w:val="restart"/>
            <w:vAlign w:val="center"/>
          </w:tcPr>
          <w:p>
            <w:pPr>
              <w:pStyle w:val="13"/>
              <w:rPr>
                <w:color w:val="auto"/>
              </w:rPr>
            </w:pPr>
            <w:r>
              <w:rPr>
                <w:color w:val="auto"/>
              </w:rP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rPr>
                <w:color w:val="auto"/>
              </w:rPr>
            </w:pPr>
            <w:r>
              <w:rPr>
                <w:color w:val="auto"/>
              </w:rPr>
              <w:t>项目名称</w:t>
            </w:r>
          </w:p>
        </w:tc>
        <w:tc>
          <w:tcPr>
            <w:tcW w:w="964" w:type="dxa"/>
            <w:vAlign w:val="center"/>
          </w:tcPr>
          <w:p>
            <w:pPr>
              <w:pStyle w:val="13"/>
              <w:rPr>
                <w:color w:val="auto"/>
              </w:rPr>
            </w:pPr>
            <w:r>
              <w:rPr>
                <w:color w:val="auto"/>
              </w:rPr>
              <w:t>预算    资金</w:t>
            </w:r>
          </w:p>
        </w:tc>
        <w:tc>
          <w:tcPr>
            <w:tcW w:w="1134" w:type="dxa"/>
            <w:vMerge w:val="continue"/>
          </w:tcPr>
          <w:p>
            <w:pPr>
              <w:rPr>
                <w:color w:val="auto"/>
              </w:rPr>
            </w:pPr>
          </w:p>
        </w:tc>
        <w:tc>
          <w:tcPr>
            <w:tcW w:w="1134" w:type="dxa"/>
            <w:vMerge w:val="continue"/>
          </w:tcPr>
          <w:p>
            <w:pPr>
              <w:rPr>
                <w:color w:val="auto"/>
              </w:rPr>
            </w:pPr>
          </w:p>
        </w:tc>
        <w:tc>
          <w:tcPr>
            <w:tcW w:w="709" w:type="dxa"/>
            <w:vMerge w:val="continue"/>
          </w:tcPr>
          <w:p>
            <w:pPr>
              <w:rPr>
                <w:color w:val="auto"/>
              </w:rPr>
            </w:pPr>
          </w:p>
        </w:tc>
        <w:tc>
          <w:tcPr>
            <w:tcW w:w="850" w:type="dxa"/>
            <w:vMerge w:val="continue"/>
          </w:tcPr>
          <w:p>
            <w:pPr>
              <w:rPr>
                <w:color w:val="auto"/>
              </w:rPr>
            </w:pPr>
          </w:p>
        </w:tc>
        <w:tc>
          <w:tcPr>
            <w:tcW w:w="850" w:type="dxa"/>
            <w:vMerge w:val="continue"/>
          </w:tcPr>
          <w:p>
            <w:pPr>
              <w:rPr>
                <w:color w:val="auto"/>
              </w:rPr>
            </w:pPr>
          </w:p>
        </w:tc>
        <w:tc>
          <w:tcPr>
            <w:tcW w:w="964" w:type="dxa"/>
            <w:vAlign w:val="center"/>
          </w:tcPr>
          <w:p>
            <w:pPr>
              <w:pStyle w:val="13"/>
              <w:rPr>
                <w:color w:val="auto"/>
              </w:rPr>
            </w:pPr>
            <w:r>
              <w:rPr>
                <w:color w:val="auto"/>
              </w:rPr>
              <w:t>合计</w:t>
            </w:r>
          </w:p>
        </w:tc>
        <w:tc>
          <w:tcPr>
            <w:tcW w:w="964" w:type="dxa"/>
            <w:vAlign w:val="center"/>
          </w:tcPr>
          <w:p>
            <w:pPr>
              <w:pStyle w:val="13"/>
              <w:rPr>
                <w:color w:val="auto"/>
              </w:rPr>
            </w:pPr>
            <w:r>
              <w:rPr>
                <w:color w:val="auto"/>
              </w:rPr>
              <w:t>一般公共预算拨款</w:t>
            </w:r>
          </w:p>
        </w:tc>
        <w:tc>
          <w:tcPr>
            <w:tcW w:w="964" w:type="dxa"/>
            <w:vAlign w:val="center"/>
          </w:tcPr>
          <w:p>
            <w:pPr>
              <w:pStyle w:val="13"/>
              <w:rPr>
                <w:color w:val="auto"/>
              </w:rPr>
            </w:pPr>
            <w:r>
              <w:rPr>
                <w:color w:val="auto"/>
              </w:rPr>
              <w:t>基金预算拨款</w:t>
            </w:r>
          </w:p>
        </w:tc>
        <w:tc>
          <w:tcPr>
            <w:tcW w:w="964" w:type="dxa"/>
            <w:vAlign w:val="center"/>
          </w:tcPr>
          <w:p>
            <w:pPr>
              <w:pStyle w:val="13"/>
              <w:rPr>
                <w:color w:val="auto"/>
              </w:rPr>
            </w:pPr>
            <w:r>
              <w:rPr>
                <w:color w:val="auto"/>
              </w:rPr>
              <w:t>国有资本经营预算拨款</w:t>
            </w:r>
          </w:p>
        </w:tc>
        <w:tc>
          <w:tcPr>
            <w:tcW w:w="964" w:type="dxa"/>
            <w:vAlign w:val="center"/>
          </w:tcPr>
          <w:p>
            <w:pPr>
              <w:pStyle w:val="13"/>
              <w:rPr>
                <w:color w:val="auto"/>
              </w:rPr>
            </w:pPr>
            <w:r>
              <w:rPr>
                <w:color w:val="auto"/>
              </w:rPr>
              <w:t>财政专户核拨</w:t>
            </w:r>
          </w:p>
        </w:tc>
        <w:tc>
          <w:tcPr>
            <w:tcW w:w="964" w:type="dxa"/>
            <w:vAlign w:val="center"/>
          </w:tcPr>
          <w:p>
            <w:pPr>
              <w:pStyle w:val="13"/>
              <w:rPr>
                <w:color w:val="auto"/>
              </w:rPr>
            </w:pPr>
            <w:r>
              <w:rPr>
                <w:color w:val="auto"/>
              </w:rPr>
              <w:t>单位    资金</w:t>
            </w:r>
          </w:p>
        </w:tc>
        <w:tc>
          <w:tcPr>
            <w:tcW w:w="964" w:type="dxa"/>
            <w:vAlign w:val="center"/>
          </w:tcPr>
          <w:p>
            <w:pPr>
              <w:pStyle w:val="13"/>
              <w:rPr>
                <w:color w:val="auto"/>
              </w:rPr>
            </w:pPr>
            <w:r>
              <w:rPr>
                <w:color w:val="auto"/>
              </w:rPr>
              <w:t>财政拨    款结转</w:t>
            </w:r>
          </w:p>
        </w:tc>
        <w:tc>
          <w:tcPr>
            <w:tcW w:w="964" w:type="dxa"/>
            <w:vAlign w:val="center"/>
          </w:tcPr>
          <w:p>
            <w:pPr>
              <w:pStyle w:val="13"/>
              <w:rPr>
                <w:color w:val="auto"/>
              </w:rPr>
            </w:pPr>
            <w:r>
              <w:rPr>
                <w:color w:val="auto"/>
              </w:rPr>
              <w:t>非财政    拨款结    转结余</w:t>
            </w:r>
          </w:p>
        </w:tc>
        <w:tc>
          <w:tcPr>
            <w:tcW w:w="964" w:type="dxa"/>
            <w:vMerge w:val="continue"/>
          </w:tcPr>
          <w:p>
            <w:pP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7"/>
              <w:rPr>
                <w:color w:val="auto"/>
              </w:rPr>
            </w:pPr>
          </w:p>
        </w:tc>
        <w:tc>
          <w:tcPr>
            <w:tcW w:w="964" w:type="dxa"/>
            <w:vAlign w:val="center"/>
          </w:tcPr>
          <w:p>
            <w:pPr>
              <w:pStyle w:val="18"/>
              <w:rPr>
                <w:color w:val="auto"/>
              </w:rPr>
            </w:pPr>
          </w:p>
        </w:tc>
        <w:tc>
          <w:tcPr>
            <w:tcW w:w="1134" w:type="dxa"/>
            <w:vAlign w:val="center"/>
          </w:tcPr>
          <w:p>
            <w:pPr>
              <w:pStyle w:val="19"/>
              <w:rPr>
                <w:color w:val="auto"/>
              </w:rPr>
            </w:pPr>
          </w:p>
        </w:tc>
        <w:tc>
          <w:tcPr>
            <w:tcW w:w="1134" w:type="dxa"/>
            <w:vAlign w:val="center"/>
          </w:tcPr>
          <w:p>
            <w:pPr>
              <w:pStyle w:val="19"/>
              <w:rPr>
                <w:color w:val="auto"/>
              </w:rPr>
            </w:pPr>
          </w:p>
        </w:tc>
        <w:tc>
          <w:tcPr>
            <w:tcW w:w="709" w:type="dxa"/>
            <w:vAlign w:val="center"/>
          </w:tcPr>
          <w:p>
            <w:pPr>
              <w:pStyle w:val="17"/>
              <w:rPr>
                <w:color w:val="auto"/>
              </w:rPr>
            </w:pPr>
          </w:p>
        </w:tc>
        <w:tc>
          <w:tcPr>
            <w:tcW w:w="850" w:type="dxa"/>
            <w:vAlign w:val="center"/>
          </w:tcPr>
          <w:p>
            <w:pPr>
              <w:pStyle w:val="18"/>
              <w:rPr>
                <w:color w:val="auto"/>
              </w:rPr>
            </w:pPr>
          </w:p>
        </w:tc>
        <w:tc>
          <w:tcPr>
            <w:tcW w:w="850"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c>
          <w:tcPr>
            <w:tcW w:w="964" w:type="dxa"/>
            <w:vAlign w:val="center"/>
          </w:tcPr>
          <w:p>
            <w:pPr>
              <w:pStyle w:val="18"/>
              <w:rPr>
                <w:color w:val="auto"/>
              </w:rPr>
            </w:pPr>
          </w:p>
        </w:tc>
      </w:tr>
    </w:tbl>
    <w:p>
      <w:pPr>
        <w:spacing w:line="500" w:lineRule="exact"/>
        <w:ind w:firstLine="420"/>
        <w:rPr>
          <w:color w:val="auto"/>
        </w:rPr>
      </w:pPr>
      <w:r>
        <w:rPr>
          <w:rFonts w:ascii="方正书宋_GBK" w:hAnsi="方正书宋_GBK" w:eastAsia="方正书宋_GBK" w:cs="方正书宋_GBK"/>
          <w:color w:val="auto"/>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rPr>
          <w:color w:val="auto"/>
        </w:rPr>
      </w:pPr>
      <w:r>
        <w:rPr>
          <w:rFonts w:ascii="方正书宋_GBK" w:hAnsi="方正书宋_GBK" w:eastAsia="方正书宋_GBK" w:cs="方正书宋_GBK"/>
          <w:color w:val="auto"/>
          <w:sz w:val="21"/>
        </w:rPr>
        <w:t>注：无政府采购预算，空表列示。</w:t>
      </w:r>
    </w:p>
    <w:p>
      <w:pPr>
        <w:ind w:firstLine="640"/>
        <w:rPr>
          <w:color w:val="auto"/>
        </w:rPr>
      </w:pPr>
      <w:r>
        <w:rPr>
          <w:rFonts w:eastAsia="方正仿宋_GBK"/>
          <w:color w:val="auto"/>
          <w:sz w:val="32"/>
        </w:rPr>
        <w:t xml:space="preserve"> </w:t>
      </w:r>
    </w:p>
    <w:p>
      <w:pPr>
        <w:spacing w:before="10" w:after="10"/>
        <w:ind w:firstLine="640"/>
        <w:outlineLvl w:val="5"/>
        <w:rPr>
          <w:color w:val="auto"/>
        </w:rPr>
      </w:pPr>
      <w:r>
        <w:rPr>
          <w:rFonts w:ascii="黑体" w:hAnsi="黑体" w:eastAsia="黑体" w:cs="黑体"/>
          <w:color w:val="auto"/>
          <w:sz w:val="32"/>
        </w:rPr>
        <w:t>七、国有资产信息</w:t>
      </w:r>
    </w:p>
    <w:p>
      <w:pPr>
        <w:spacing w:line="500" w:lineRule="exact"/>
        <w:ind w:firstLine="560"/>
        <w:rPr>
          <w:color w:val="auto"/>
        </w:rPr>
      </w:pPr>
      <w:r>
        <w:rPr>
          <w:rFonts w:hint="eastAsia" w:eastAsia="方正仿宋_GBK"/>
          <w:color w:val="auto"/>
          <w:sz w:val="28"/>
          <w:lang w:eastAsia="zh-CN"/>
        </w:rPr>
        <w:t>涞源县交通运输局</w:t>
      </w:r>
      <w:r>
        <w:rPr>
          <w:rFonts w:eastAsia="方正仿宋_GBK"/>
          <w:color w:val="auto"/>
          <w:sz w:val="28"/>
        </w:rPr>
        <w:t>本级上年末固定资产金额为</w:t>
      </w:r>
      <w:r>
        <w:rPr>
          <w:rFonts w:hint="eastAsia" w:eastAsia="方正仿宋_GBK"/>
          <w:color w:val="auto"/>
          <w:sz w:val="28"/>
          <w:lang w:val="en-US" w:eastAsia="zh-CN"/>
        </w:rPr>
        <w:t>641.55</w:t>
      </w:r>
      <w:r>
        <w:rPr>
          <w:rFonts w:eastAsia="方正仿宋_GBK"/>
          <w:color w:val="auto"/>
          <w:sz w:val="28"/>
        </w:rPr>
        <w:t>万元（详见下表）。本年度拟购置固定资产总额为</w:t>
      </w:r>
      <w:r>
        <w:rPr>
          <w:rFonts w:hint="eastAsia" w:eastAsia="方正仿宋_GBK"/>
          <w:color w:val="auto"/>
          <w:sz w:val="28"/>
          <w:lang w:val="en-US" w:eastAsia="zh-CN"/>
        </w:rPr>
        <w:t>0.00</w:t>
      </w:r>
      <w:r>
        <w:rPr>
          <w:rFonts w:eastAsia="方正仿宋_GBK"/>
          <w:color w:val="auto"/>
          <w:sz w:val="28"/>
        </w:rPr>
        <w:t>万元，已按要求列入政府采购预算，详见政府采购预算表。</w:t>
      </w:r>
    </w:p>
    <w:p>
      <w:pPr>
        <w:jc w:val="center"/>
        <w:rPr>
          <w:color w:val="auto"/>
        </w:rPr>
      </w:pPr>
      <w:r>
        <w:rPr>
          <w:rFonts w:ascii="方正小标宋_GBK" w:hAnsi="方正小标宋_GBK" w:eastAsia="方正小标宋_GBK" w:cs="方正小标宋_GBK"/>
          <w:color w:val="auto"/>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rPr>
                <w:rFonts w:hint="default" w:eastAsia="方正小标宋_GBK"/>
                <w:color w:val="auto"/>
                <w:lang w:val="en-US" w:eastAsia="zh-CN"/>
              </w:rPr>
            </w:pPr>
            <w:r>
              <w:rPr>
                <w:rFonts w:hint="eastAsia"/>
                <w:color w:val="auto"/>
                <w:lang w:val="en-US" w:eastAsia="zh-CN"/>
              </w:rPr>
              <w:t>348涞源县交通运输局</w:t>
            </w:r>
          </w:p>
        </w:tc>
        <w:tc>
          <w:tcPr>
            <w:tcW w:w="5669" w:type="dxa"/>
            <w:gridSpan w:val="2"/>
            <w:tcBorders>
              <w:top w:val="single" w:color="FFFFFF" w:sz="6" w:space="0"/>
              <w:left w:val="single" w:color="FFFFFF" w:sz="6" w:space="0"/>
              <w:right w:val="single" w:color="FFFFFF" w:sz="6" w:space="0"/>
            </w:tcBorders>
            <w:vAlign w:val="center"/>
          </w:tcPr>
          <w:p>
            <w:pPr>
              <w:pStyle w:val="10"/>
              <w:rPr>
                <w:color w:val="auto"/>
              </w:rPr>
            </w:pPr>
            <w:r>
              <w:rPr>
                <w:color w:val="auto"/>
              </w:rP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rPr>
                <w:color w:val="auto"/>
              </w:rPr>
            </w:pPr>
            <w:r>
              <w:rPr>
                <w:color w:val="auto"/>
              </w:rPr>
              <w:t>项   目</w:t>
            </w:r>
          </w:p>
        </w:tc>
        <w:tc>
          <w:tcPr>
            <w:tcW w:w="2835" w:type="dxa"/>
            <w:vAlign w:val="center"/>
          </w:tcPr>
          <w:p>
            <w:pPr>
              <w:pStyle w:val="13"/>
              <w:rPr>
                <w:color w:val="auto"/>
              </w:rPr>
            </w:pPr>
            <w:r>
              <w:rPr>
                <w:color w:val="auto"/>
              </w:rPr>
              <w:t>数量</w:t>
            </w:r>
          </w:p>
        </w:tc>
        <w:tc>
          <w:tcPr>
            <w:tcW w:w="2835" w:type="dxa"/>
            <w:vAlign w:val="center"/>
          </w:tcPr>
          <w:p>
            <w:pPr>
              <w:pStyle w:val="13"/>
              <w:rPr>
                <w:color w:val="auto"/>
              </w:rPr>
            </w:pPr>
            <w:r>
              <w:rPr>
                <w:color w:val="auto"/>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rPr>
                <w:color w:val="auto"/>
              </w:rPr>
            </w:pPr>
            <w:r>
              <w:rPr>
                <w:color w:val="auto"/>
              </w:rPr>
              <w:t>资产总额</w:t>
            </w:r>
          </w:p>
        </w:tc>
        <w:tc>
          <w:tcPr>
            <w:tcW w:w="2835" w:type="dxa"/>
            <w:vAlign w:val="center"/>
          </w:tcPr>
          <w:p>
            <w:pPr>
              <w:pStyle w:val="16"/>
              <w:rPr>
                <w:color w:val="auto"/>
              </w:rPr>
            </w:pPr>
          </w:p>
        </w:tc>
        <w:tc>
          <w:tcPr>
            <w:tcW w:w="2835" w:type="dxa"/>
            <w:vAlign w:val="center"/>
          </w:tcPr>
          <w:p>
            <w:pPr>
              <w:pStyle w:val="14"/>
              <w:rPr>
                <w:rFonts w:hint="default" w:eastAsia="方正书宋_GBK"/>
                <w:color w:val="auto"/>
                <w:lang w:val="en-US" w:eastAsia="zh-CN"/>
              </w:rPr>
            </w:pPr>
            <w:r>
              <w:rPr>
                <w:rFonts w:hint="eastAsia"/>
                <w:color w:val="auto"/>
                <w:lang w:val="en-US" w:eastAsia="zh-CN"/>
              </w:rPr>
              <w:t>641.55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rPr>
                <w:color w:val="auto"/>
              </w:rPr>
            </w:pPr>
            <w:r>
              <w:rPr>
                <w:color w:val="auto"/>
              </w:rPr>
              <w:t>1、房屋（平方米）</w:t>
            </w:r>
          </w:p>
        </w:tc>
        <w:tc>
          <w:tcPr>
            <w:tcW w:w="2835" w:type="dxa"/>
            <w:vAlign w:val="center"/>
          </w:tcPr>
          <w:p>
            <w:pPr>
              <w:pStyle w:val="16"/>
              <w:rPr>
                <w:color w:val="auto"/>
              </w:rPr>
            </w:pPr>
            <w:r>
              <w:rPr>
                <w:color w:val="auto"/>
              </w:rPr>
              <w:t>5956</w:t>
            </w:r>
          </w:p>
        </w:tc>
        <w:tc>
          <w:tcPr>
            <w:tcW w:w="2835" w:type="dxa"/>
            <w:vAlign w:val="center"/>
          </w:tcPr>
          <w:p>
            <w:pPr>
              <w:pStyle w:val="14"/>
              <w:rPr>
                <w:color w:val="auto"/>
              </w:rPr>
            </w:pPr>
            <w:r>
              <w:rPr>
                <w:color w:val="auto"/>
              </w:rPr>
              <w:t>506.82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rPr>
                <w:color w:val="auto"/>
              </w:rPr>
            </w:pPr>
            <w:r>
              <w:rPr>
                <w:color w:val="auto"/>
              </w:rPr>
              <w:t>　　其中：办公用房（平方米）</w:t>
            </w:r>
          </w:p>
        </w:tc>
        <w:tc>
          <w:tcPr>
            <w:tcW w:w="2835" w:type="dxa"/>
            <w:vAlign w:val="center"/>
          </w:tcPr>
          <w:p>
            <w:pPr>
              <w:pStyle w:val="16"/>
              <w:rPr>
                <w:color w:val="auto"/>
              </w:rPr>
            </w:pPr>
            <w:r>
              <w:rPr>
                <w:color w:val="auto"/>
              </w:rPr>
              <w:t>4307</w:t>
            </w:r>
          </w:p>
        </w:tc>
        <w:tc>
          <w:tcPr>
            <w:tcW w:w="2835" w:type="dxa"/>
            <w:vAlign w:val="center"/>
          </w:tcPr>
          <w:p>
            <w:pPr>
              <w:pStyle w:val="14"/>
              <w:rPr>
                <w:color w:val="auto"/>
              </w:rPr>
            </w:pPr>
            <w:r>
              <w:rPr>
                <w:color w:val="auto"/>
              </w:rPr>
              <w:t>475.18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rPr>
                <w:color w:val="auto"/>
              </w:rPr>
            </w:pPr>
            <w:r>
              <w:rPr>
                <w:color w:val="auto"/>
              </w:rPr>
              <w:t>2、车辆（台、辆）</w:t>
            </w:r>
          </w:p>
        </w:tc>
        <w:tc>
          <w:tcPr>
            <w:tcW w:w="2835" w:type="dxa"/>
            <w:vAlign w:val="center"/>
          </w:tcPr>
          <w:p>
            <w:pPr>
              <w:pStyle w:val="16"/>
              <w:rPr>
                <w:color w:val="auto"/>
              </w:rPr>
            </w:pPr>
            <w:r>
              <w:rPr>
                <w:color w:val="auto"/>
              </w:rPr>
              <w:t>34</w:t>
            </w:r>
          </w:p>
        </w:tc>
        <w:tc>
          <w:tcPr>
            <w:tcW w:w="2835" w:type="dxa"/>
            <w:vAlign w:val="center"/>
          </w:tcPr>
          <w:p>
            <w:pPr>
              <w:pStyle w:val="14"/>
              <w:rPr>
                <w:color w:val="auto"/>
              </w:rPr>
            </w:pPr>
            <w:r>
              <w:rPr>
                <w:color w:val="auto"/>
              </w:rPr>
              <w:t>134.73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rPr>
                <w:color w:val="auto"/>
              </w:rPr>
            </w:pPr>
            <w:r>
              <w:rPr>
                <w:color w:val="auto"/>
              </w:rPr>
              <w:t>3、单价在20万元以上的设备</w:t>
            </w:r>
          </w:p>
        </w:tc>
        <w:tc>
          <w:tcPr>
            <w:tcW w:w="2835" w:type="dxa"/>
            <w:vAlign w:val="center"/>
          </w:tcPr>
          <w:p>
            <w:pPr>
              <w:pStyle w:val="16"/>
              <w:rPr>
                <w:color w:val="auto"/>
              </w:rPr>
            </w:pPr>
          </w:p>
        </w:tc>
        <w:tc>
          <w:tcPr>
            <w:tcW w:w="2835" w:type="dxa"/>
            <w:vAlign w:val="center"/>
          </w:tcPr>
          <w:p>
            <w:pPr>
              <w:pStyle w:val="14"/>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rPr>
                <w:color w:val="auto"/>
              </w:rPr>
            </w:pPr>
            <w:r>
              <w:rPr>
                <w:color w:val="auto"/>
              </w:rPr>
              <w:t>4、其他固定资产</w:t>
            </w:r>
          </w:p>
        </w:tc>
        <w:tc>
          <w:tcPr>
            <w:tcW w:w="2835" w:type="dxa"/>
            <w:vAlign w:val="center"/>
          </w:tcPr>
          <w:p>
            <w:pPr>
              <w:pStyle w:val="16"/>
              <w:rPr>
                <w:color w:val="auto"/>
              </w:rPr>
            </w:pPr>
          </w:p>
        </w:tc>
        <w:tc>
          <w:tcPr>
            <w:tcW w:w="2835" w:type="dxa"/>
            <w:vAlign w:val="center"/>
          </w:tcPr>
          <w:p>
            <w:pPr>
              <w:pStyle w:val="14"/>
              <w:rPr>
                <w:color w:val="auto"/>
              </w:rPr>
            </w:pPr>
          </w:p>
        </w:tc>
      </w:tr>
    </w:tbl>
    <w:p>
      <w:pPr>
        <w:ind w:firstLine="640"/>
        <w:rPr>
          <w:color w:val="auto"/>
        </w:rPr>
      </w:pPr>
      <w:r>
        <w:rPr>
          <w:rFonts w:eastAsia="方正仿宋_GBK"/>
          <w:color w:val="auto"/>
          <w:sz w:val="32"/>
        </w:rPr>
        <w:t xml:space="preserve"> </w:t>
      </w:r>
    </w:p>
    <w:p>
      <w:pPr>
        <w:spacing w:before="10" w:after="10"/>
        <w:ind w:firstLine="640"/>
        <w:outlineLvl w:val="5"/>
        <w:rPr>
          <w:color w:val="auto"/>
        </w:rPr>
      </w:pPr>
      <w:r>
        <w:rPr>
          <w:rFonts w:ascii="黑体" w:hAnsi="黑体" w:eastAsia="黑体" w:cs="黑体"/>
          <w:color w:val="auto"/>
          <w:sz w:val="32"/>
        </w:rPr>
        <w:t>八、名词解释</w:t>
      </w:r>
    </w:p>
    <w:p>
      <w:pPr>
        <w:spacing w:line="500" w:lineRule="exact"/>
        <w:ind w:firstLine="560"/>
        <w:rPr>
          <w:color w:val="auto"/>
        </w:rPr>
      </w:pPr>
      <w:r>
        <w:rPr>
          <w:rFonts w:eastAsia="方正仿宋_GBK"/>
          <w:color w:val="auto"/>
          <w:sz w:val="28"/>
        </w:rPr>
        <w:t>1、</w:t>
      </w:r>
      <w:r>
        <w:rPr>
          <w:rFonts w:eastAsia="方正仿宋_GBK"/>
          <w:b/>
          <w:color w:val="auto"/>
          <w:sz w:val="28"/>
        </w:rPr>
        <w:t>一般公共预算拨款收入：</w:t>
      </w:r>
      <w:r>
        <w:rPr>
          <w:rFonts w:eastAsia="方正仿宋_GBK"/>
          <w:color w:val="auto"/>
          <w:sz w:val="28"/>
        </w:rPr>
        <w:t>指</w:t>
      </w:r>
      <w:r>
        <w:rPr>
          <w:rFonts w:hint="eastAsia" w:eastAsia="方正仿宋_GBK"/>
          <w:color w:val="auto"/>
          <w:sz w:val="28"/>
          <w:lang w:eastAsia="zh-CN"/>
        </w:rPr>
        <w:t>县</w:t>
      </w:r>
      <w:r>
        <w:rPr>
          <w:rFonts w:eastAsia="方正仿宋_GBK"/>
          <w:color w:val="auto"/>
          <w:sz w:val="28"/>
        </w:rPr>
        <w:t>级财政当年拨付的资金。</w:t>
      </w:r>
    </w:p>
    <w:p>
      <w:pPr>
        <w:spacing w:line="500" w:lineRule="exact"/>
        <w:ind w:firstLine="560"/>
        <w:rPr>
          <w:color w:val="auto"/>
        </w:rPr>
      </w:pPr>
      <w:r>
        <w:rPr>
          <w:rFonts w:eastAsia="方正仿宋_GBK"/>
          <w:color w:val="auto"/>
          <w:sz w:val="28"/>
        </w:rPr>
        <w:t>2、</w:t>
      </w:r>
      <w:r>
        <w:rPr>
          <w:rFonts w:eastAsia="方正仿宋_GBK"/>
          <w:b/>
          <w:color w:val="auto"/>
          <w:sz w:val="28"/>
        </w:rPr>
        <w:t>事业收入：</w:t>
      </w:r>
      <w:r>
        <w:rPr>
          <w:rFonts w:eastAsia="方正仿宋_GBK"/>
          <w:color w:val="auto"/>
          <w:sz w:val="28"/>
        </w:rPr>
        <w:t>指事业单位开展专业业务活动及辅助活动所取得的收入。</w:t>
      </w:r>
    </w:p>
    <w:p>
      <w:pPr>
        <w:spacing w:line="500" w:lineRule="exact"/>
        <w:ind w:firstLine="560"/>
        <w:rPr>
          <w:color w:val="auto"/>
        </w:rPr>
      </w:pPr>
      <w:r>
        <w:rPr>
          <w:rFonts w:eastAsia="方正仿宋_GBK"/>
          <w:color w:val="auto"/>
          <w:sz w:val="28"/>
        </w:rPr>
        <w:t>3、</w:t>
      </w:r>
      <w:r>
        <w:rPr>
          <w:rFonts w:eastAsia="方正仿宋_GBK"/>
          <w:b/>
          <w:color w:val="auto"/>
          <w:sz w:val="28"/>
        </w:rPr>
        <w:t>其他收入：</w:t>
      </w:r>
      <w:r>
        <w:rPr>
          <w:rFonts w:eastAsia="方正仿宋_GBK"/>
          <w:color w:val="auto"/>
          <w:sz w:val="28"/>
        </w:rPr>
        <w:t>指除“一般公共预算拨款收入”、“事业收入”等以外的收入。主要是按规定动用的租房收入、存款利息收入等。</w:t>
      </w:r>
    </w:p>
    <w:p>
      <w:pPr>
        <w:spacing w:line="500" w:lineRule="exact"/>
        <w:ind w:firstLine="560"/>
        <w:rPr>
          <w:color w:val="auto"/>
        </w:rPr>
      </w:pPr>
      <w:r>
        <w:rPr>
          <w:rFonts w:eastAsia="方正仿宋_GBK"/>
          <w:color w:val="auto"/>
          <w:sz w:val="28"/>
        </w:rPr>
        <w:t>4、</w:t>
      </w:r>
      <w:r>
        <w:rPr>
          <w:rFonts w:eastAsia="方正仿宋_GBK"/>
          <w:b/>
          <w:color w:val="auto"/>
          <w:sz w:val="28"/>
        </w:rPr>
        <w:t>基本支出：</w:t>
      </w:r>
      <w:r>
        <w:rPr>
          <w:rFonts w:eastAsia="方正仿宋_GBK"/>
          <w:color w:val="auto"/>
          <w:sz w:val="28"/>
        </w:rPr>
        <w:t>指为保障机构正常运转、完成日常工作任务而发生的人员支出和公用支出。</w:t>
      </w:r>
    </w:p>
    <w:p>
      <w:pPr>
        <w:spacing w:line="500" w:lineRule="exact"/>
        <w:ind w:firstLine="560"/>
        <w:rPr>
          <w:color w:val="auto"/>
        </w:rPr>
      </w:pPr>
      <w:r>
        <w:rPr>
          <w:rFonts w:eastAsia="方正仿宋_GBK"/>
          <w:color w:val="auto"/>
          <w:sz w:val="28"/>
        </w:rPr>
        <w:t>5、</w:t>
      </w:r>
      <w:r>
        <w:rPr>
          <w:rFonts w:eastAsia="方正仿宋_GBK"/>
          <w:b/>
          <w:color w:val="auto"/>
          <w:sz w:val="28"/>
        </w:rPr>
        <w:t>项目支出：</w:t>
      </w:r>
      <w:r>
        <w:rPr>
          <w:rFonts w:eastAsia="方正仿宋_GBK"/>
          <w:color w:val="auto"/>
          <w:sz w:val="28"/>
        </w:rPr>
        <w:t>指在基本支出之外为完成特定行政任务和事业发展目标所发生的支出。</w:t>
      </w:r>
    </w:p>
    <w:p>
      <w:pPr>
        <w:spacing w:line="500" w:lineRule="exact"/>
        <w:ind w:firstLine="560"/>
        <w:rPr>
          <w:color w:val="auto"/>
        </w:rPr>
      </w:pPr>
      <w:r>
        <w:rPr>
          <w:rFonts w:eastAsia="方正仿宋_GBK"/>
          <w:color w:val="auto"/>
          <w:sz w:val="28"/>
        </w:rPr>
        <w:t>6、</w:t>
      </w:r>
      <w:r>
        <w:rPr>
          <w:rFonts w:eastAsia="方正仿宋_GBK"/>
          <w:b/>
          <w:color w:val="auto"/>
          <w:sz w:val="28"/>
        </w:rPr>
        <w:t>上缴上级支出：</w:t>
      </w:r>
      <w:r>
        <w:rPr>
          <w:rFonts w:eastAsia="方正仿宋_GBK"/>
          <w:color w:val="auto"/>
          <w:sz w:val="28"/>
        </w:rPr>
        <w:t>指下级单位上缴上级的支出。</w:t>
      </w:r>
    </w:p>
    <w:p>
      <w:pPr>
        <w:spacing w:line="500" w:lineRule="exact"/>
        <w:ind w:firstLine="560"/>
        <w:rPr>
          <w:color w:val="auto"/>
        </w:rPr>
      </w:pPr>
      <w:r>
        <w:rPr>
          <w:rFonts w:eastAsia="方正仿宋_GBK"/>
          <w:color w:val="auto"/>
          <w:sz w:val="28"/>
        </w:rPr>
        <w:t>7、</w:t>
      </w:r>
      <w:r>
        <w:rPr>
          <w:rFonts w:eastAsia="方正仿宋_GBK"/>
          <w:b/>
          <w:color w:val="auto"/>
          <w:sz w:val="28"/>
        </w:rPr>
        <w:t>“三公”经费：</w:t>
      </w:r>
      <w:r>
        <w:rPr>
          <w:rFonts w:eastAsia="方正仿宋_GBK"/>
          <w:color w:val="auto"/>
          <w:sz w:val="28"/>
        </w:rPr>
        <w:t>纳入</w:t>
      </w:r>
      <w:r>
        <w:rPr>
          <w:rFonts w:hint="eastAsia" w:eastAsia="方正仿宋_GBK"/>
          <w:color w:val="auto"/>
          <w:sz w:val="28"/>
          <w:lang w:eastAsia="zh-CN"/>
        </w:rPr>
        <w:t>县</w:t>
      </w:r>
      <w:r>
        <w:rPr>
          <w:rFonts w:eastAsia="方正仿宋_GBK"/>
          <w:color w:val="auto"/>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color w:val="auto"/>
        </w:rPr>
      </w:pPr>
      <w:r>
        <w:rPr>
          <w:rFonts w:eastAsia="方正仿宋_GBK"/>
          <w:color w:val="auto"/>
          <w:sz w:val="28"/>
        </w:rPr>
        <w:t>8、</w:t>
      </w:r>
      <w:r>
        <w:rPr>
          <w:rFonts w:eastAsia="方正仿宋_GBK"/>
          <w:b/>
          <w:color w:val="auto"/>
          <w:sz w:val="28"/>
        </w:rPr>
        <w:t>机关运行费：</w:t>
      </w:r>
      <w:r>
        <w:rPr>
          <w:rFonts w:eastAsia="方正仿宋_GBK"/>
          <w:color w:val="auto"/>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color w:val="auto"/>
        </w:rPr>
      </w:pPr>
      <w:r>
        <w:rPr>
          <w:rFonts w:eastAsia="方正仿宋_GBK"/>
          <w:color w:val="auto"/>
          <w:sz w:val="28"/>
        </w:rPr>
        <w:t>9、</w:t>
      </w:r>
      <w:r>
        <w:rPr>
          <w:rFonts w:eastAsia="方正仿宋_GBK"/>
          <w:b/>
          <w:color w:val="auto"/>
          <w:sz w:val="28"/>
        </w:rPr>
        <w:t>上年结转：</w:t>
      </w:r>
      <w:r>
        <w:rPr>
          <w:rFonts w:eastAsia="方正仿宋_GBK"/>
          <w:color w:val="auto"/>
          <w:sz w:val="28"/>
        </w:rPr>
        <w:t>指以前年度尚未完成、结转到本年仍按原规定用途继续使用的资金。</w:t>
      </w:r>
    </w:p>
    <w:p>
      <w:pPr>
        <w:spacing w:line="500" w:lineRule="exact"/>
        <w:ind w:firstLine="560"/>
        <w:rPr>
          <w:color w:val="auto"/>
        </w:rPr>
      </w:pPr>
      <w:r>
        <w:rPr>
          <w:rFonts w:eastAsia="方正仿宋_GBK"/>
          <w:color w:val="auto"/>
          <w:sz w:val="28"/>
        </w:rPr>
        <w:t>10、</w:t>
      </w:r>
      <w:r>
        <w:rPr>
          <w:rFonts w:eastAsia="方正仿宋_GBK"/>
          <w:b/>
          <w:color w:val="auto"/>
          <w:sz w:val="28"/>
        </w:rPr>
        <w:t>事业单位经营支出：</w:t>
      </w:r>
      <w:r>
        <w:rPr>
          <w:rFonts w:eastAsia="方正仿宋_GBK"/>
          <w:color w:val="auto"/>
          <w:sz w:val="28"/>
        </w:rPr>
        <w:t>指事业单位在专业业务活动及其辅助活动之外开展非独立核算经营活动发生的支出。</w:t>
      </w:r>
    </w:p>
    <w:p>
      <w:pPr>
        <w:spacing w:before="10" w:after="10"/>
        <w:ind w:firstLine="640"/>
        <w:outlineLvl w:val="5"/>
        <w:rPr>
          <w:color w:val="auto"/>
        </w:rPr>
      </w:pPr>
      <w:r>
        <w:rPr>
          <w:rFonts w:ascii="黑体" w:hAnsi="黑体" w:eastAsia="黑体" w:cs="黑体"/>
          <w:color w:val="auto"/>
          <w:sz w:val="32"/>
        </w:rPr>
        <w:t>九、其他需要说明的事项</w:t>
      </w:r>
    </w:p>
    <w:p>
      <w:pPr>
        <w:spacing w:line="500" w:lineRule="exact"/>
        <w:ind w:firstLine="560"/>
        <w:rPr>
          <w:rFonts w:hint="eastAsia" w:eastAsia="方正仿宋_GBK"/>
          <w:color w:val="auto"/>
          <w:lang w:eastAsia="zh-CN"/>
        </w:rPr>
        <w:sectPr>
          <w:pgSz w:w="16840" w:h="11900" w:orient="landscape"/>
          <w:pgMar w:top="1361" w:right="1020" w:bottom="1134" w:left="1020" w:header="720" w:footer="720" w:gutter="0"/>
          <w:cols w:space="720" w:num="1"/>
        </w:sectPr>
      </w:pPr>
      <w:r>
        <w:rPr>
          <w:rFonts w:eastAsia="方正仿宋_GBK"/>
          <w:color w:val="auto"/>
          <w:sz w:val="28"/>
        </w:rPr>
        <w:t>我单位无其他需要说明的事项</w:t>
      </w:r>
      <w:r>
        <w:rPr>
          <w:rFonts w:hint="eastAsia" w:eastAsia="方正仿宋_GBK"/>
          <w:color w:val="auto"/>
          <w:sz w:val="28"/>
          <w:lang w:eastAsia="zh-CN"/>
        </w:rPr>
        <w:t>。</w:t>
      </w:r>
    </w:p>
    <w:p>
      <w:pPr>
        <w:spacing w:line="500" w:lineRule="exact"/>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110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kZjdmZWNmYTE4ZGQ1NmUyODIyM2FhNGY4MmE0MzUifQ=="/>
  </w:docVars>
  <w:rsids>
    <w:rsidRoot w:val="005158E3"/>
    <w:rsid w:val="00082297"/>
    <w:rsid w:val="000B5DE2"/>
    <w:rsid w:val="002E648D"/>
    <w:rsid w:val="002F5694"/>
    <w:rsid w:val="005158E3"/>
    <w:rsid w:val="00606814"/>
    <w:rsid w:val="00630511"/>
    <w:rsid w:val="00702C15"/>
    <w:rsid w:val="00871C81"/>
    <w:rsid w:val="00D418BC"/>
    <w:rsid w:val="00EA1574"/>
    <w:rsid w:val="00EA35B9"/>
    <w:rsid w:val="00F77395"/>
    <w:rsid w:val="013D1B33"/>
    <w:rsid w:val="01B94F5B"/>
    <w:rsid w:val="02594312"/>
    <w:rsid w:val="027520D7"/>
    <w:rsid w:val="02900CBF"/>
    <w:rsid w:val="02FA3FCE"/>
    <w:rsid w:val="044A73AA"/>
    <w:rsid w:val="049F51EA"/>
    <w:rsid w:val="058A40EC"/>
    <w:rsid w:val="05EC26B0"/>
    <w:rsid w:val="06417756"/>
    <w:rsid w:val="064B33F4"/>
    <w:rsid w:val="064B7931"/>
    <w:rsid w:val="06D1454D"/>
    <w:rsid w:val="06D67ADD"/>
    <w:rsid w:val="08406CE4"/>
    <w:rsid w:val="08A13C26"/>
    <w:rsid w:val="08B07D5B"/>
    <w:rsid w:val="08E43B13"/>
    <w:rsid w:val="08FB4C71"/>
    <w:rsid w:val="098F1CD1"/>
    <w:rsid w:val="09E37B1C"/>
    <w:rsid w:val="0A3A317C"/>
    <w:rsid w:val="0A9B3BDC"/>
    <w:rsid w:val="0B2C4B16"/>
    <w:rsid w:val="0BBB2BD1"/>
    <w:rsid w:val="0C5965C6"/>
    <w:rsid w:val="0CD8573D"/>
    <w:rsid w:val="0D261E54"/>
    <w:rsid w:val="0E107158"/>
    <w:rsid w:val="0E710F62"/>
    <w:rsid w:val="0EE31D45"/>
    <w:rsid w:val="0F363AAF"/>
    <w:rsid w:val="0F5117D6"/>
    <w:rsid w:val="0F580DB7"/>
    <w:rsid w:val="0F933B9D"/>
    <w:rsid w:val="0FE910A8"/>
    <w:rsid w:val="11494E5B"/>
    <w:rsid w:val="118052AF"/>
    <w:rsid w:val="11AE0432"/>
    <w:rsid w:val="11B81FE1"/>
    <w:rsid w:val="122F6D00"/>
    <w:rsid w:val="12955E7E"/>
    <w:rsid w:val="12DD6110"/>
    <w:rsid w:val="12FE42B3"/>
    <w:rsid w:val="133E0AD3"/>
    <w:rsid w:val="13F03A6C"/>
    <w:rsid w:val="140E5EE8"/>
    <w:rsid w:val="144C729A"/>
    <w:rsid w:val="145E0A15"/>
    <w:rsid w:val="14D02BF1"/>
    <w:rsid w:val="14D647CA"/>
    <w:rsid w:val="14DD6A72"/>
    <w:rsid w:val="14F47F34"/>
    <w:rsid w:val="15033573"/>
    <w:rsid w:val="15080B89"/>
    <w:rsid w:val="16E00C12"/>
    <w:rsid w:val="17D81082"/>
    <w:rsid w:val="183343FF"/>
    <w:rsid w:val="184A4ED5"/>
    <w:rsid w:val="1859745A"/>
    <w:rsid w:val="187D3315"/>
    <w:rsid w:val="19374C61"/>
    <w:rsid w:val="1A750A6F"/>
    <w:rsid w:val="1AE71241"/>
    <w:rsid w:val="1B5123F2"/>
    <w:rsid w:val="1B73794A"/>
    <w:rsid w:val="1B92591A"/>
    <w:rsid w:val="1C154D29"/>
    <w:rsid w:val="1C5E12AB"/>
    <w:rsid w:val="1C907DE2"/>
    <w:rsid w:val="1CAC2F32"/>
    <w:rsid w:val="1CAE2016"/>
    <w:rsid w:val="1CE0488E"/>
    <w:rsid w:val="1D790876"/>
    <w:rsid w:val="1DA87937"/>
    <w:rsid w:val="1E1C250E"/>
    <w:rsid w:val="1E3F1D1A"/>
    <w:rsid w:val="1E71154D"/>
    <w:rsid w:val="1E956402"/>
    <w:rsid w:val="1EAA2F97"/>
    <w:rsid w:val="1F26315E"/>
    <w:rsid w:val="1FAD6564"/>
    <w:rsid w:val="1FD224BF"/>
    <w:rsid w:val="1FEE401C"/>
    <w:rsid w:val="201C373B"/>
    <w:rsid w:val="20290027"/>
    <w:rsid w:val="20687118"/>
    <w:rsid w:val="20837F16"/>
    <w:rsid w:val="20CB6E6D"/>
    <w:rsid w:val="213E04F7"/>
    <w:rsid w:val="21A34113"/>
    <w:rsid w:val="22635651"/>
    <w:rsid w:val="22761828"/>
    <w:rsid w:val="22E06CA1"/>
    <w:rsid w:val="22F26E56"/>
    <w:rsid w:val="23437A88"/>
    <w:rsid w:val="24924C7C"/>
    <w:rsid w:val="24D82326"/>
    <w:rsid w:val="251658EF"/>
    <w:rsid w:val="259860C4"/>
    <w:rsid w:val="25D01411"/>
    <w:rsid w:val="26D22DA5"/>
    <w:rsid w:val="26D60AE7"/>
    <w:rsid w:val="2708572C"/>
    <w:rsid w:val="271116E4"/>
    <w:rsid w:val="275639D6"/>
    <w:rsid w:val="276362A1"/>
    <w:rsid w:val="284534BC"/>
    <w:rsid w:val="28F549A9"/>
    <w:rsid w:val="292A7E6F"/>
    <w:rsid w:val="29B10338"/>
    <w:rsid w:val="2B193EE1"/>
    <w:rsid w:val="2B312790"/>
    <w:rsid w:val="2BF51A0F"/>
    <w:rsid w:val="2BFC6FEA"/>
    <w:rsid w:val="2C3342E6"/>
    <w:rsid w:val="2C730B86"/>
    <w:rsid w:val="2C840FE5"/>
    <w:rsid w:val="2C916CA6"/>
    <w:rsid w:val="2C9A2049"/>
    <w:rsid w:val="2CE9198B"/>
    <w:rsid w:val="2CF41CC7"/>
    <w:rsid w:val="2D6C6914"/>
    <w:rsid w:val="2DF66968"/>
    <w:rsid w:val="2DFD5C0A"/>
    <w:rsid w:val="2E093FA0"/>
    <w:rsid w:val="2E220AB6"/>
    <w:rsid w:val="2E4E3659"/>
    <w:rsid w:val="2E8F3097"/>
    <w:rsid w:val="2F234AE5"/>
    <w:rsid w:val="2F527179"/>
    <w:rsid w:val="2F7B4DDE"/>
    <w:rsid w:val="308B70BE"/>
    <w:rsid w:val="30F46739"/>
    <w:rsid w:val="313034EA"/>
    <w:rsid w:val="31634510"/>
    <w:rsid w:val="32B36180"/>
    <w:rsid w:val="32B9757D"/>
    <w:rsid w:val="32F02F31"/>
    <w:rsid w:val="33122EA7"/>
    <w:rsid w:val="33145F6A"/>
    <w:rsid w:val="33EB7E54"/>
    <w:rsid w:val="34262D61"/>
    <w:rsid w:val="3472257B"/>
    <w:rsid w:val="3489363D"/>
    <w:rsid w:val="34BD1343"/>
    <w:rsid w:val="34C17DE1"/>
    <w:rsid w:val="34D063D7"/>
    <w:rsid w:val="34FF56AD"/>
    <w:rsid w:val="368049E3"/>
    <w:rsid w:val="36966DB8"/>
    <w:rsid w:val="36DC7D30"/>
    <w:rsid w:val="36E2256B"/>
    <w:rsid w:val="379E60C4"/>
    <w:rsid w:val="384D4981"/>
    <w:rsid w:val="38AD43A9"/>
    <w:rsid w:val="39BC3B6C"/>
    <w:rsid w:val="3A4B7556"/>
    <w:rsid w:val="3AC96C9F"/>
    <w:rsid w:val="3B032D8F"/>
    <w:rsid w:val="3BB30900"/>
    <w:rsid w:val="3BEE647B"/>
    <w:rsid w:val="3BF8349B"/>
    <w:rsid w:val="3CF4361D"/>
    <w:rsid w:val="3D3800A1"/>
    <w:rsid w:val="3D3A7D05"/>
    <w:rsid w:val="3DB53A78"/>
    <w:rsid w:val="3DDF607B"/>
    <w:rsid w:val="3E2B60DD"/>
    <w:rsid w:val="3EAD721A"/>
    <w:rsid w:val="3ECF6EEC"/>
    <w:rsid w:val="3F63466C"/>
    <w:rsid w:val="3F7E18C4"/>
    <w:rsid w:val="3FC003E7"/>
    <w:rsid w:val="40BC6B48"/>
    <w:rsid w:val="41160006"/>
    <w:rsid w:val="416074D3"/>
    <w:rsid w:val="41BA51F9"/>
    <w:rsid w:val="41CC4B69"/>
    <w:rsid w:val="41D4005B"/>
    <w:rsid w:val="420551D5"/>
    <w:rsid w:val="438D2E75"/>
    <w:rsid w:val="43A44646"/>
    <w:rsid w:val="43A713E9"/>
    <w:rsid w:val="43FB212F"/>
    <w:rsid w:val="441A43B7"/>
    <w:rsid w:val="445B6930"/>
    <w:rsid w:val="44661F43"/>
    <w:rsid w:val="447A08AC"/>
    <w:rsid w:val="447F0983"/>
    <w:rsid w:val="449F61E8"/>
    <w:rsid w:val="4517717C"/>
    <w:rsid w:val="467908C2"/>
    <w:rsid w:val="4685178A"/>
    <w:rsid w:val="46FA7A32"/>
    <w:rsid w:val="47D351EA"/>
    <w:rsid w:val="47D44777"/>
    <w:rsid w:val="47F66BDA"/>
    <w:rsid w:val="481D69F1"/>
    <w:rsid w:val="48547666"/>
    <w:rsid w:val="48DB70E8"/>
    <w:rsid w:val="48DC0D48"/>
    <w:rsid w:val="4A0B78D0"/>
    <w:rsid w:val="4A61143D"/>
    <w:rsid w:val="4A9336B0"/>
    <w:rsid w:val="4B5A16F0"/>
    <w:rsid w:val="4B6D1DB7"/>
    <w:rsid w:val="4B756271"/>
    <w:rsid w:val="4B7C13AE"/>
    <w:rsid w:val="4C2C4C3A"/>
    <w:rsid w:val="4C6360CA"/>
    <w:rsid w:val="4CC76658"/>
    <w:rsid w:val="4DD87322"/>
    <w:rsid w:val="4E1230A1"/>
    <w:rsid w:val="4E233A5C"/>
    <w:rsid w:val="4E2F6A86"/>
    <w:rsid w:val="4E30647F"/>
    <w:rsid w:val="4EE96D5A"/>
    <w:rsid w:val="4FAC08CC"/>
    <w:rsid w:val="4FEB3FB2"/>
    <w:rsid w:val="50306EC3"/>
    <w:rsid w:val="5044494F"/>
    <w:rsid w:val="509073B7"/>
    <w:rsid w:val="512B6679"/>
    <w:rsid w:val="513403C7"/>
    <w:rsid w:val="51E24880"/>
    <w:rsid w:val="520E4E5A"/>
    <w:rsid w:val="52563A6E"/>
    <w:rsid w:val="52EF06B7"/>
    <w:rsid w:val="53125B5C"/>
    <w:rsid w:val="54705100"/>
    <w:rsid w:val="54E8662C"/>
    <w:rsid w:val="54F66FBF"/>
    <w:rsid w:val="55872E29"/>
    <w:rsid w:val="55F66200"/>
    <w:rsid w:val="562E7748"/>
    <w:rsid w:val="567C224A"/>
    <w:rsid w:val="568A3177"/>
    <w:rsid w:val="56ED13B1"/>
    <w:rsid w:val="57554DCE"/>
    <w:rsid w:val="577473DD"/>
    <w:rsid w:val="57AC4DC9"/>
    <w:rsid w:val="57CF4D32"/>
    <w:rsid w:val="581D3408"/>
    <w:rsid w:val="586353B2"/>
    <w:rsid w:val="59710078"/>
    <w:rsid w:val="59BE356A"/>
    <w:rsid w:val="59D831FB"/>
    <w:rsid w:val="5A442010"/>
    <w:rsid w:val="5B791466"/>
    <w:rsid w:val="5BE0791F"/>
    <w:rsid w:val="5BFF29C6"/>
    <w:rsid w:val="5C0D1BAE"/>
    <w:rsid w:val="5C7F2AAC"/>
    <w:rsid w:val="5CA56841"/>
    <w:rsid w:val="5D5052CF"/>
    <w:rsid w:val="5D8A6C16"/>
    <w:rsid w:val="5DC114BA"/>
    <w:rsid w:val="5DED1C97"/>
    <w:rsid w:val="5E8719E6"/>
    <w:rsid w:val="5ECE7D4B"/>
    <w:rsid w:val="5F177DAA"/>
    <w:rsid w:val="5F3C4C84"/>
    <w:rsid w:val="5F4339F3"/>
    <w:rsid w:val="6014761F"/>
    <w:rsid w:val="60B75A3F"/>
    <w:rsid w:val="60DF0333"/>
    <w:rsid w:val="617F5519"/>
    <w:rsid w:val="62724E61"/>
    <w:rsid w:val="630A600B"/>
    <w:rsid w:val="632768D6"/>
    <w:rsid w:val="632C5257"/>
    <w:rsid w:val="63842108"/>
    <w:rsid w:val="64415C31"/>
    <w:rsid w:val="645273AA"/>
    <w:rsid w:val="64E4310C"/>
    <w:rsid w:val="653D1756"/>
    <w:rsid w:val="65CE40FC"/>
    <w:rsid w:val="66067D9A"/>
    <w:rsid w:val="6648370A"/>
    <w:rsid w:val="671E1113"/>
    <w:rsid w:val="675039C2"/>
    <w:rsid w:val="682B3ACA"/>
    <w:rsid w:val="6855015C"/>
    <w:rsid w:val="689345DB"/>
    <w:rsid w:val="68D125DC"/>
    <w:rsid w:val="69544B75"/>
    <w:rsid w:val="695C537F"/>
    <w:rsid w:val="69C426FE"/>
    <w:rsid w:val="6ACC2EED"/>
    <w:rsid w:val="6AD22940"/>
    <w:rsid w:val="6BB87D88"/>
    <w:rsid w:val="6BCC55E2"/>
    <w:rsid w:val="6C004D10"/>
    <w:rsid w:val="6C550092"/>
    <w:rsid w:val="6CBF5146"/>
    <w:rsid w:val="6CEF3113"/>
    <w:rsid w:val="6D004A50"/>
    <w:rsid w:val="6D0E5786"/>
    <w:rsid w:val="6D710A09"/>
    <w:rsid w:val="6D77332B"/>
    <w:rsid w:val="6D9A4E2F"/>
    <w:rsid w:val="6DF42BCE"/>
    <w:rsid w:val="6E2A4841"/>
    <w:rsid w:val="6E8B588F"/>
    <w:rsid w:val="7003534A"/>
    <w:rsid w:val="70145A62"/>
    <w:rsid w:val="70991ECB"/>
    <w:rsid w:val="719E357C"/>
    <w:rsid w:val="71F94FBD"/>
    <w:rsid w:val="72870653"/>
    <w:rsid w:val="72A82D7E"/>
    <w:rsid w:val="73EE23D5"/>
    <w:rsid w:val="741473C6"/>
    <w:rsid w:val="74216DA1"/>
    <w:rsid w:val="74B03CF2"/>
    <w:rsid w:val="7518696C"/>
    <w:rsid w:val="7556562B"/>
    <w:rsid w:val="75620F5A"/>
    <w:rsid w:val="76EA1012"/>
    <w:rsid w:val="773A7EF0"/>
    <w:rsid w:val="77C16217"/>
    <w:rsid w:val="78273735"/>
    <w:rsid w:val="795F1843"/>
    <w:rsid w:val="796B643A"/>
    <w:rsid w:val="7988763A"/>
    <w:rsid w:val="79BC08F6"/>
    <w:rsid w:val="7A1979CC"/>
    <w:rsid w:val="7A4A42A1"/>
    <w:rsid w:val="7A6E2630"/>
    <w:rsid w:val="7A7E03EF"/>
    <w:rsid w:val="7AEE59E3"/>
    <w:rsid w:val="7B3718E4"/>
    <w:rsid w:val="7B4774E8"/>
    <w:rsid w:val="7BA44EE3"/>
    <w:rsid w:val="7C55517F"/>
    <w:rsid w:val="7DB7683B"/>
    <w:rsid w:val="7DD6409E"/>
    <w:rsid w:val="7E351986"/>
    <w:rsid w:val="7F6104A2"/>
    <w:rsid w:val="7F671390"/>
    <w:rsid w:val="7F8B45D5"/>
    <w:rsid w:val="7FBD5515"/>
    <w:rsid w:val="7FCA2DFC"/>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autoRedefine/>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autoRedefine/>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5">
    <w:name w:val="单元格样式2"/>
    <w:basedOn w:val="1"/>
    <w:autoRedefine/>
    <w:qFormat/>
    <w:uiPriority w:val="0"/>
    <w:rPr>
      <w:rFonts w:ascii="方正书宋_GBK" w:hAnsi="方正书宋_GBK" w:eastAsia="方正书宋_GBK" w:cs="方正书宋_GBK"/>
      <w:sz w:val="21"/>
    </w:rPr>
  </w:style>
  <w:style w:type="paragraph" w:customStyle="1" w:styleId="16">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autoRedefine/>
    <w:qFormat/>
    <w:uiPriority w:val="0"/>
    <w:rPr>
      <w:rFonts w:ascii="方正书宋_GBK" w:hAnsi="方正书宋_GBK" w:eastAsia="方正书宋_GBK" w:cs="方正书宋_GBK"/>
      <w:b/>
      <w:sz w:val="21"/>
    </w:rPr>
  </w:style>
  <w:style w:type="paragraph" w:customStyle="1" w:styleId="20">
    <w:name w:val="插入文本样式-插入部门职责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autoRedefine/>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7">
    <w:name w:val="单元格样式23"/>
    <w:basedOn w:val="1"/>
    <w:autoRedefine/>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autoRedefine/>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Props1.xml><?xml version="1.0" encoding="utf-8"?>
<ds:datastoreItem xmlns:ds="http://schemas.openxmlformats.org/officeDocument/2006/customXml" ds:itemID="{3C1C9222-4EE6-4E2D-965E-B1C18BABFCE0}">
  <ds:schemaRefs/>
</ds:datastoreItem>
</file>

<file path=customXml/itemProps2.xml><?xml version="1.0" encoding="utf-8"?>
<ds:datastoreItem xmlns:ds="http://schemas.openxmlformats.org/officeDocument/2006/customXml" ds:itemID="{B0C21D4C-A2A0-42E3-83A7-C0C925B32502}">
  <ds:schemaRefs/>
</ds:datastoreItem>
</file>

<file path=customXml/itemProps3.xml><?xml version="1.0" encoding="utf-8"?>
<ds:datastoreItem xmlns:ds="http://schemas.openxmlformats.org/officeDocument/2006/customXml" ds:itemID="{D59AA75A-43C3-4A3C-A543-086EE78D4939}">
  <ds:schemaRefs/>
</ds:datastoreItem>
</file>

<file path=customXml/itemProps4.xml><?xml version="1.0" encoding="utf-8"?>
<ds:datastoreItem xmlns:ds="http://schemas.openxmlformats.org/officeDocument/2006/customXml" ds:itemID="{3F14FAA8-2A83-45D9-B2AB-C9F977B9BE7C}">
  <ds:schemaRefs/>
</ds:datastoreItem>
</file>

<file path=customXml/itemProps5.xml><?xml version="1.0" encoding="utf-8"?>
<ds:datastoreItem xmlns:ds="http://schemas.openxmlformats.org/officeDocument/2006/customXml" ds:itemID="{19E784C9-C190-4CF3-9866-94FCA9082070}">
  <ds:schemaRefs/>
</ds:datastoreItem>
</file>

<file path=customXml/itemProps6.xml><?xml version="1.0" encoding="utf-8"?>
<ds:datastoreItem xmlns:ds="http://schemas.openxmlformats.org/officeDocument/2006/customXml" ds:itemID="{74E433B0-B211-446B-8BE3-AB34147C4848}">
  <ds:schemaRefs/>
</ds:datastoreItem>
</file>

<file path=customXml/itemProps7.xml><?xml version="1.0" encoding="utf-8"?>
<ds:datastoreItem xmlns:ds="http://schemas.openxmlformats.org/officeDocument/2006/customXml" ds:itemID="{8671C376-C62B-458B-86B3-0BB1772D4639}">
  <ds:schemaRefs/>
</ds:datastoreItem>
</file>

<file path=customXml/itemProps8.xml><?xml version="1.0" encoding="utf-8"?>
<ds:datastoreItem xmlns:ds="http://schemas.openxmlformats.org/officeDocument/2006/customXml" ds:itemID="{D88F5278-075D-41EC-9CE8-0B19E93053F1}">
  <ds:schemaRefs/>
</ds:datastoreItem>
</file>

<file path=customXml/itemProps9.xml><?xml version="1.0" encoding="utf-8"?>
<ds:datastoreItem xmlns:ds="http://schemas.openxmlformats.org/officeDocument/2006/customXml" ds:itemID="{E17E4137-0510-4FA7-82B2-4F59FB3BEF38}">
  <ds:schemaRefs/>
</ds:datastoreItem>
</file>

<file path=customXml/itemProps10.xml><?xml version="1.0" encoding="utf-8"?>
<ds:datastoreItem xmlns:ds="http://schemas.openxmlformats.org/officeDocument/2006/customXml" ds:itemID="{AE5391D3-69A5-4E0D-A0C0-EC2884227CDE}">
  <ds:schemaRefs/>
</ds:datastoreItem>
</file>

<file path=customXml/itemProps11.xml><?xml version="1.0" encoding="utf-8"?>
<ds:datastoreItem xmlns:ds="http://schemas.openxmlformats.org/officeDocument/2006/customXml" ds:itemID="{7A02C242-6590-44FC-9411-17E54EF6DA34}">
  <ds:schemaRefs/>
</ds:datastoreItem>
</file>

<file path=customXml/itemProps12.xml><?xml version="1.0" encoding="utf-8"?>
<ds:datastoreItem xmlns:ds="http://schemas.openxmlformats.org/officeDocument/2006/customXml" ds:itemID="{7925E89C-0AD1-4AC2-A4AA-94BD39666215}">
  <ds:schemaRefs/>
</ds:datastoreItem>
</file>

<file path=customXml/itemProps13.xml><?xml version="1.0" encoding="utf-8"?>
<ds:datastoreItem xmlns:ds="http://schemas.openxmlformats.org/officeDocument/2006/customXml" ds:itemID="{75863FF1-D31F-493B-A287-DA2584321797}">
  <ds:schemaRefs/>
</ds:datastoreItem>
</file>

<file path=customXml/itemProps14.xml><?xml version="1.0" encoding="utf-8"?>
<ds:datastoreItem xmlns:ds="http://schemas.openxmlformats.org/officeDocument/2006/customXml" ds:itemID="{CCEF2C09-472C-4843-B224-0EBDB729194C}">
  <ds:schemaRefs/>
</ds:datastoreItem>
</file>

<file path=customXml/itemProps15.xml><?xml version="1.0" encoding="utf-8"?>
<ds:datastoreItem xmlns:ds="http://schemas.openxmlformats.org/officeDocument/2006/customXml" ds:itemID="{A3032DE7-6EE0-4ADF-9BC4-3250A25684E0}">
  <ds:schemaRefs/>
</ds:datastoreItem>
</file>

<file path=customXml/itemProps16.xml><?xml version="1.0" encoding="utf-8"?>
<ds:datastoreItem xmlns:ds="http://schemas.openxmlformats.org/officeDocument/2006/customXml" ds:itemID="{98975FDB-4B0A-4172-BBDB-A2AC43417488}">
  <ds:schemaRefs/>
</ds:datastoreItem>
</file>

<file path=customXml/itemProps17.xml><?xml version="1.0" encoding="utf-8"?>
<ds:datastoreItem xmlns:ds="http://schemas.openxmlformats.org/officeDocument/2006/customXml" ds:itemID="{E9B2F49E-1B8C-4AB4-B35C-76D58ABC5F71}">
  <ds:schemaRefs/>
</ds:datastoreItem>
</file>

<file path=customXml/itemProps18.xml><?xml version="1.0" encoding="utf-8"?>
<ds:datastoreItem xmlns:ds="http://schemas.openxmlformats.org/officeDocument/2006/customXml" ds:itemID="{CA4B91DD-DE87-4039-BAC9-D36E174E33A5}">
  <ds:schemaRefs/>
</ds:datastoreItem>
</file>

<file path=customXml/itemProps19.xml><?xml version="1.0" encoding="utf-8"?>
<ds:datastoreItem xmlns:ds="http://schemas.openxmlformats.org/officeDocument/2006/customXml" ds:itemID="{1F9503B8-497F-4F0A-BEBF-230C7A560794}">
  <ds:schemaRefs/>
</ds:datastoreItem>
</file>

<file path=customXml/itemProps20.xml><?xml version="1.0" encoding="utf-8"?>
<ds:datastoreItem xmlns:ds="http://schemas.openxmlformats.org/officeDocument/2006/customXml" ds:itemID="{645C81A8-22BB-4BAD-8053-2A255635032B}">
  <ds:schemaRefs/>
</ds:datastoreItem>
</file>

<file path=customXml/itemProps21.xml><?xml version="1.0" encoding="utf-8"?>
<ds:datastoreItem xmlns:ds="http://schemas.openxmlformats.org/officeDocument/2006/customXml" ds:itemID="{EB8C6A17-3425-4079-91FB-7772717C2491}">
  <ds:schemaRefs/>
</ds:datastoreItem>
</file>

<file path=customXml/itemProps22.xml><?xml version="1.0" encoding="utf-8"?>
<ds:datastoreItem xmlns:ds="http://schemas.openxmlformats.org/officeDocument/2006/customXml" ds:itemID="{316970CA-7B50-4360-A567-65350DF0250E}">
  <ds:schemaRefs/>
</ds:datastoreItem>
</file>

<file path=customXml/itemProps23.xml><?xml version="1.0" encoding="utf-8"?>
<ds:datastoreItem xmlns:ds="http://schemas.openxmlformats.org/officeDocument/2006/customXml" ds:itemID="{AE3BADD0-2326-486A-B841-4BD81288ECAE}">
  <ds:schemaRefs/>
</ds:datastoreItem>
</file>

<file path=customXml/itemProps24.xml><?xml version="1.0" encoding="utf-8"?>
<ds:datastoreItem xmlns:ds="http://schemas.openxmlformats.org/officeDocument/2006/customXml" ds:itemID="{1D01B26F-9CCF-42FB-B507-D05EE7C7022D}">
  <ds:schemaRefs/>
</ds:datastoreItem>
</file>

<file path=customXml/itemProps25.xml><?xml version="1.0" encoding="utf-8"?>
<ds:datastoreItem xmlns:ds="http://schemas.openxmlformats.org/officeDocument/2006/customXml" ds:itemID="{EDD37347-6898-4B0F-BC2D-3E3FC0156312}">
  <ds:schemaRefs/>
</ds:datastoreItem>
</file>

<file path=customXml/itemProps26.xml><?xml version="1.0" encoding="utf-8"?>
<ds:datastoreItem xmlns:ds="http://schemas.openxmlformats.org/officeDocument/2006/customXml" ds:itemID="{7BF51CD2-0945-42FF-B575-9ECB384A28E7}">
  <ds:schemaRefs/>
</ds:datastoreItem>
</file>

<file path=customXml/itemProps27.xml><?xml version="1.0" encoding="utf-8"?>
<ds:datastoreItem xmlns:ds="http://schemas.openxmlformats.org/officeDocument/2006/customXml" ds:itemID="{FAF6BCD2-819E-48DC-A3F8-AFEF16BCB9B7}">
  <ds:schemaRefs/>
</ds:datastoreItem>
</file>

<file path=customXml/itemProps28.xml><?xml version="1.0" encoding="utf-8"?>
<ds:datastoreItem xmlns:ds="http://schemas.openxmlformats.org/officeDocument/2006/customXml" ds:itemID="{0A7FEE8E-B1C0-4AF4-8753-1D3BDB8B4C01}">
  <ds:schemaRefs/>
</ds:datastoreItem>
</file>

<file path=customXml/itemProps29.xml><?xml version="1.0" encoding="utf-8"?>
<ds:datastoreItem xmlns:ds="http://schemas.openxmlformats.org/officeDocument/2006/customXml" ds:itemID="{8846E8D4-913F-4746-AA75-C6CE2B90AD4F}">
  <ds:schemaRefs/>
</ds:datastoreItem>
</file>

<file path=customXml/itemProps30.xml><?xml version="1.0" encoding="utf-8"?>
<ds:datastoreItem xmlns:ds="http://schemas.openxmlformats.org/officeDocument/2006/customXml" ds:itemID="{75B7015C-50EB-4B3A-948A-8D054903AB37}">
  <ds:schemaRefs/>
</ds:datastoreItem>
</file>

<file path=customXml/itemProps31.xml><?xml version="1.0" encoding="utf-8"?>
<ds:datastoreItem xmlns:ds="http://schemas.openxmlformats.org/officeDocument/2006/customXml" ds:itemID="{A5ED6CA5-E920-4E9B-B8A9-496DC6F265E9}">
  <ds:schemaRefs/>
</ds:datastoreItem>
</file>

<file path=customXml/itemProps32.xml><?xml version="1.0" encoding="utf-8"?>
<ds:datastoreItem xmlns:ds="http://schemas.openxmlformats.org/officeDocument/2006/customXml" ds:itemID="{5836314E-78C1-4146-BB14-0B23AF82A4A4}">
  <ds:schemaRefs/>
</ds:datastoreItem>
</file>

<file path=customXml/itemProps33.xml><?xml version="1.0" encoding="utf-8"?>
<ds:datastoreItem xmlns:ds="http://schemas.openxmlformats.org/officeDocument/2006/customXml" ds:itemID="{CDB4418D-FA8D-452A-873E-34F07DEA992D}">
  <ds:schemaRefs/>
</ds:datastoreItem>
</file>

<file path=customXml/itemProps34.xml><?xml version="1.0" encoding="utf-8"?>
<ds:datastoreItem xmlns:ds="http://schemas.openxmlformats.org/officeDocument/2006/customXml" ds:itemID="{CA90AD5C-3D95-40E9-B27C-4094A519A97A}">
  <ds:schemaRefs/>
</ds:datastoreItem>
</file>

<file path=customXml/itemProps35.xml><?xml version="1.0" encoding="utf-8"?>
<ds:datastoreItem xmlns:ds="http://schemas.openxmlformats.org/officeDocument/2006/customXml" ds:itemID="{E40A97E8-E14D-49C8-83F4-1C461E932CE8}">
  <ds:schemaRefs/>
</ds:datastoreItem>
</file>

<file path=customXml/itemProps36.xml><?xml version="1.0" encoding="utf-8"?>
<ds:datastoreItem xmlns:ds="http://schemas.openxmlformats.org/officeDocument/2006/customXml" ds:itemID="{8E33C5D4-2FCF-4544-9390-089767122917}">
  <ds:schemaRefs/>
</ds:datastoreItem>
</file>

<file path=customXml/itemProps37.xml><?xml version="1.0" encoding="utf-8"?>
<ds:datastoreItem xmlns:ds="http://schemas.openxmlformats.org/officeDocument/2006/customXml" ds:itemID="{A878D889-B041-4FC6-AF2E-33FF7F423CCC}">
  <ds:schemaRefs/>
</ds:datastoreItem>
</file>

<file path=customXml/itemProps38.xml><?xml version="1.0" encoding="utf-8"?>
<ds:datastoreItem xmlns:ds="http://schemas.openxmlformats.org/officeDocument/2006/customXml" ds:itemID="{19BB3998-2611-45B9-8CAB-82D8FF64D6D1}">
  <ds:schemaRefs/>
</ds:datastoreItem>
</file>

<file path=customXml/itemProps39.xml><?xml version="1.0" encoding="utf-8"?>
<ds:datastoreItem xmlns:ds="http://schemas.openxmlformats.org/officeDocument/2006/customXml" ds:itemID="{58A8C5E6-2D1A-43AF-BB94-D533C9214652}">
  <ds:schemaRefs/>
</ds:datastoreItem>
</file>

<file path=customXml/itemProps40.xml><?xml version="1.0" encoding="utf-8"?>
<ds:datastoreItem xmlns:ds="http://schemas.openxmlformats.org/officeDocument/2006/customXml" ds:itemID="{CE82F714-21F3-4A08-AA00-A6545B5B248C}">
  <ds:schemaRefs/>
</ds:datastoreItem>
</file>

<file path=customXml/itemProps41.xml><?xml version="1.0" encoding="utf-8"?>
<ds:datastoreItem xmlns:ds="http://schemas.openxmlformats.org/officeDocument/2006/customXml" ds:itemID="{DE59B502-5F94-4851-921E-34A3460EB28D}">
  <ds:schemaRefs/>
</ds:datastoreItem>
</file>

<file path=customXml/itemProps42.xml><?xml version="1.0" encoding="utf-8"?>
<ds:datastoreItem xmlns:ds="http://schemas.openxmlformats.org/officeDocument/2006/customXml" ds:itemID="{359E87AA-C7FC-44F8-8D67-4452CCB92D33}">
  <ds:schemaRefs/>
</ds:datastoreItem>
</file>

<file path=customXml/itemProps43.xml><?xml version="1.0" encoding="utf-8"?>
<ds:datastoreItem xmlns:ds="http://schemas.openxmlformats.org/officeDocument/2006/customXml" ds:itemID="{516DDB45-A746-4867-9DFB-73DB7F459A73}">
  <ds:schemaRefs/>
</ds:datastoreItem>
</file>

<file path=customXml/itemProps44.xml><?xml version="1.0" encoding="utf-8"?>
<ds:datastoreItem xmlns:ds="http://schemas.openxmlformats.org/officeDocument/2006/customXml" ds:itemID="{8A6E4953-09AA-41BC-8463-C7A7D914AA4C}">
  <ds:schemaRefs/>
</ds:datastoreItem>
</file>

<file path=customXml/itemProps45.xml><?xml version="1.0" encoding="utf-8"?>
<ds:datastoreItem xmlns:ds="http://schemas.openxmlformats.org/officeDocument/2006/customXml" ds:itemID="{1E5C0A3B-AD69-4373-9BCF-814DDA624859}">
  <ds:schemaRefs/>
</ds:datastoreItem>
</file>

<file path=customXml/itemProps46.xml><?xml version="1.0" encoding="utf-8"?>
<ds:datastoreItem xmlns:ds="http://schemas.openxmlformats.org/officeDocument/2006/customXml" ds:itemID="{662D82A5-25DB-44A1-A273-C16FF6D648F0}">
  <ds:schemaRefs/>
</ds:datastoreItem>
</file>

<file path=customXml/itemProps47.xml><?xml version="1.0" encoding="utf-8"?>
<ds:datastoreItem xmlns:ds="http://schemas.openxmlformats.org/officeDocument/2006/customXml" ds:itemID="{CE6D220C-6E26-42FC-9BC1-F2EBB9DECF5D}">
  <ds:schemaRefs/>
</ds:datastoreItem>
</file>

<file path=customXml/itemProps48.xml><?xml version="1.0" encoding="utf-8"?>
<ds:datastoreItem xmlns:ds="http://schemas.openxmlformats.org/officeDocument/2006/customXml" ds:itemID="{BF401255-2FE4-408B-8564-7382A02AD039}">
  <ds:schemaRefs/>
</ds:datastoreItem>
</file>

<file path=customXml/itemProps49.xml><?xml version="1.0" encoding="utf-8"?>
<ds:datastoreItem xmlns:ds="http://schemas.openxmlformats.org/officeDocument/2006/customXml" ds:itemID="{96614298-BCDD-4A34-BC10-0C71FDFD11AE}">
  <ds:schemaRefs/>
</ds:datastoreItem>
</file>

<file path=customXml/itemProps50.xml><?xml version="1.0" encoding="utf-8"?>
<ds:datastoreItem xmlns:ds="http://schemas.openxmlformats.org/officeDocument/2006/customXml" ds:itemID="{71FF8034-552E-4A41-8858-06600D8C3B07}">
  <ds:schemaRefs/>
</ds:datastoreItem>
</file>

<file path=customXml/itemProps51.xml><?xml version="1.0" encoding="utf-8"?>
<ds:datastoreItem xmlns:ds="http://schemas.openxmlformats.org/officeDocument/2006/customXml" ds:itemID="{70AF93C3-8696-4119-8154-F5125FC71C52}">
  <ds:schemaRefs/>
</ds:datastoreItem>
</file>

<file path=customXml/itemProps52.xml><?xml version="1.0" encoding="utf-8"?>
<ds:datastoreItem xmlns:ds="http://schemas.openxmlformats.org/officeDocument/2006/customXml" ds:itemID="{81EC1345-6C36-4D17-99CB-EB16D5BD040C}">
  <ds:schemaRefs/>
</ds:datastoreItem>
</file>

<file path=customXml/itemProps53.xml><?xml version="1.0" encoding="utf-8"?>
<ds:datastoreItem xmlns:ds="http://schemas.openxmlformats.org/officeDocument/2006/customXml" ds:itemID="{5EB394DF-785C-406D-8581-4A14FAC2C2F3}">
  <ds:schemaRefs/>
</ds:datastoreItem>
</file>

<file path=customXml/itemProps54.xml><?xml version="1.0" encoding="utf-8"?>
<ds:datastoreItem xmlns:ds="http://schemas.openxmlformats.org/officeDocument/2006/customXml" ds:itemID="{A28CBF58-243B-4A21-ABCF-1AA3E076E310}">
  <ds:schemaRefs/>
</ds:datastoreItem>
</file>

<file path=customXml/itemProps55.xml><?xml version="1.0" encoding="utf-8"?>
<ds:datastoreItem xmlns:ds="http://schemas.openxmlformats.org/officeDocument/2006/customXml" ds:itemID="{7299CFDA-1F8D-4998-93E3-6324B4877289}">
  <ds:schemaRefs/>
</ds:datastoreItem>
</file>

<file path=customXml/itemProps56.xml><?xml version="1.0" encoding="utf-8"?>
<ds:datastoreItem xmlns:ds="http://schemas.openxmlformats.org/officeDocument/2006/customXml" ds:itemID="{980102E9-B77C-48A1-B351-FCA2FBD2A66E}">
  <ds:schemaRefs/>
</ds:datastoreItem>
</file>

<file path=customXml/itemProps57.xml><?xml version="1.0" encoding="utf-8"?>
<ds:datastoreItem xmlns:ds="http://schemas.openxmlformats.org/officeDocument/2006/customXml" ds:itemID="{6FCA86E9-D53B-4088-8C8C-2BC804C0BC89}">
  <ds:schemaRefs/>
</ds:datastoreItem>
</file>

<file path=customXml/itemProps58.xml><?xml version="1.0" encoding="utf-8"?>
<ds:datastoreItem xmlns:ds="http://schemas.openxmlformats.org/officeDocument/2006/customXml" ds:itemID="{C5307B12-9C0E-468E-B41E-7B2450DE22CC}">
  <ds:schemaRefs/>
</ds:datastoreItem>
</file>

<file path=customXml/itemProps59.xml><?xml version="1.0" encoding="utf-8"?>
<ds:datastoreItem xmlns:ds="http://schemas.openxmlformats.org/officeDocument/2006/customXml" ds:itemID="{22C9B461-F6B4-4820-8E43-A2220EC68FFC}">
  <ds:schemaRefs/>
</ds:datastoreItem>
</file>

<file path=customXml/itemProps60.xml><?xml version="1.0" encoding="utf-8"?>
<ds:datastoreItem xmlns:ds="http://schemas.openxmlformats.org/officeDocument/2006/customXml" ds:itemID="{6536022D-1A35-4B50-BB1F-DEE023C4521A}">
  <ds:schemaRefs/>
</ds:datastoreItem>
</file>

<file path=customXml/itemProps61.xml><?xml version="1.0" encoding="utf-8"?>
<ds:datastoreItem xmlns:ds="http://schemas.openxmlformats.org/officeDocument/2006/customXml" ds:itemID="{6D4A476F-B15E-439F-9BBF-E7ED876A605B}">
  <ds:schemaRefs/>
</ds:datastoreItem>
</file>

<file path=customXml/itemProps62.xml><?xml version="1.0" encoding="utf-8"?>
<ds:datastoreItem xmlns:ds="http://schemas.openxmlformats.org/officeDocument/2006/customXml" ds:itemID="{11461EA0-4409-4CF9-8E5A-1C5215548BA6}">
  <ds:schemaRefs/>
</ds:datastoreItem>
</file>

<file path=customXml/itemProps63.xml><?xml version="1.0" encoding="utf-8"?>
<ds:datastoreItem xmlns:ds="http://schemas.openxmlformats.org/officeDocument/2006/customXml" ds:itemID="{2E5E72CA-0AF6-4DDE-A6B4-633DEE05D7F6}">
  <ds:schemaRefs/>
</ds:datastoreItem>
</file>

<file path=customXml/itemProps64.xml><?xml version="1.0" encoding="utf-8"?>
<ds:datastoreItem xmlns:ds="http://schemas.openxmlformats.org/officeDocument/2006/customXml" ds:itemID="{1F9430B5-7D6E-457B-BC1E-835FF86C3E0A}">
  <ds:schemaRefs/>
</ds:datastoreItem>
</file>

<file path=customXml/itemProps65.xml><?xml version="1.0" encoding="utf-8"?>
<ds:datastoreItem xmlns:ds="http://schemas.openxmlformats.org/officeDocument/2006/customXml" ds:itemID="{FE9C2BC2-2384-4DB9-A7CB-6405A5DD7C56}">
  <ds:schemaRefs/>
</ds:datastoreItem>
</file>

<file path=customXml/itemProps66.xml><?xml version="1.0" encoding="utf-8"?>
<ds:datastoreItem xmlns:ds="http://schemas.openxmlformats.org/officeDocument/2006/customXml" ds:itemID="{7E549FAF-BC49-4E0D-B47E-7E6A8593F0DD}">
  <ds:schemaRefs/>
</ds:datastoreItem>
</file>

<file path=customXml/itemProps67.xml><?xml version="1.0" encoding="utf-8"?>
<ds:datastoreItem xmlns:ds="http://schemas.openxmlformats.org/officeDocument/2006/customXml" ds:itemID="{B20AEC45-94D6-4B92-8068-302088C59BC8}">
  <ds:schemaRefs/>
</ds:datastoreItem>
</file>

<file path=customXml/itemProps68.xml><?xml version="1.0" encoding="utf-8"?>
<ds:datastoreItem xmlns:ds="http://schemas.openxmlformats.org/officeDocument/2006/customXml" ds:itemID="{39C9DB3A-DDE4-4F2C-9754-FA8FE33D8BE1}">
  <ds:schemaRefs/>
</ds:datastoreItem>
</file>

<file path=customXml/itemProps69.xml><?xml version="1.0" encoding="utf-8"?>
<ds:datastoreItem xmlns:ds="http://schemas.openxmlformats.org/officeDocument/2006/customXml" ds:itemID="{DEA610CF-726E-4A72-BC72-F346C1743757}">
  <ds:schemaRefs/>
</ds:datastoreItem>
</file>

<file path=customXml/itemProps70.xml><?xml version="1.0" encoding="utf-8"?>
<ds:datastoreItem xmlns:ds="http://schemas.openxmlformats.org/officeDocument/2006/customXml" ds:itemID="{854AE61E-F909-45BF-8785-F7D5FCC9E657}">
  <ds:schemaRefs/>
</ds:datastoreItem>
</file>

<file path=customXml/itemProps71.xml><?xml version="1.0" encoding="utf-8"?>
<ds:datastoreItem xmlns:ds="http://schemas.openxmlformats.org/officeDocument/2006/customXml" ds:itemID="{E6AF0BEE-F4A9-43D2-AD93-3A22D7AA3CFE}">
  <ds:schemaRefs/>
</ds:datastoreItem>
</file>

<file path=customXml/itemProps72.xml><?xml version="1.0" encoding="utf-8"?>
<ds:datastoreItem xmlns:ds="http://schemas.openxmlformats.org/officeDocument/2006/customXml" ds:itemID="{CDD8FE41-B641-4E5C-91D2-EA66EF7B6108}">
  <ds:schemaRefs/>
</ds:datastoreItem>
</file>

<file path=customXml/itemProps73.xml><?xml version="1.0" encoding="utf-8"?>
<ds:datastoreItem xmlns:ds="http://schemas.openxmlformats.org/officeDocument/2006/customXml" ds:itemID="{3A3B0952-F757-465F-B32E-3000AA7C01E1}">
  <ds:schemaRefs/>
</ds:datastoreItem>
</file>

<file path=customXml/itemProps74.xml><?xml version="1.0" encoding="utf-8"?>
<ds:datastoreItem xmlns:ds="http://schemas.openxmlformats.org/officeDocument/2006/customXml" ds:itemID="{B3DE37CA-2137-4819-A7F2-B7F92B5357EC}">
  <ds:schemaRefs/>
</ds:datastoreItem>
</file>

<file path=customXml/itemProps75.xml><?xml version="1.0" encoding="utf-8"?>
<ds:datastoreItem xmlns:ds="http://schemas.openxmlformats.org/officeDocument/2006/customXml" ds:itemID="{D5D26841-CCD2-482A-874D-8034A672C4B1}">
  <ds:schemaRefs/>
</ds:datastoreItem>
</file>

<file path=customXml/itemProps76.xml><?xml version="1.0" encoding="utf-8"?>
<ds:datastoreItem xmlns:ds="http://schemas.openxmlformats.org/officeDocument/2006/customXml" ds:itemID="{6C77CD16-1238-4C9F-ABDF-A584E7261635}">
  <ds:schemaRefs/>
</ds:datastoreItem>
</file>

<file path=customXml/itemProps77.xml><?xml version="1.0" encoding="utf-8"?>
<ds:datastoreItem xmlns:ds="http://schemas.openxmlformats.org/officeDocument/2006/customXml" ds:itemID="{FD8620FE-B912-4538-8295-767C7C291503}">
  <ds:schemaRefs/>
</ds:datastoreItem>
</file>

<file path=customXml/itemProps78.xml><?xml version="1.0" encoding="utf-8"?>
<ds:datastoreItem xmlns:ds="http://schemas.openxmlformats.org/officeDocument/2006/customXml" ds:itemID="{AE62BEC4-76EB-48D8-9B01-9869342056CA}">
  <ds:schemaRefs/>
</ds:datastoreItem>
</file>

<file path=customXml/itemProps79.xml><?xml version="1.0" encoding="utf-8"?>
<ds:datastoreItem xmlns:ds="http://schemas.openxmlformats.org/officeDocument/2006/customXml" ds:itemID="{3A553546-368A-4AB1-BAD2-38F78A2CEFED}">
  <ds:schemaRefs/>
</ds:datastoreItem>
</file>

<file path=customXml/itemProps80.xml><?xml version="1.0" encoding="utf-8"?>
<ds:datastoreItem xmlns:ds="http://schemas.openxmlformats.org/officeDocument/2006/customXml" ds:itemID="{BBE9BCC7-8CEE-455C-A590-D9DBEA14CE4A}">
  <ds:schemaRefs/>
</ds:datastoreItem>
</file>

<file path=customXml/itemProps81.xml><?xml version="1.0" encoding="utf-8"?>
<ds:datastoreItem xmlns:ds="http://schemas.openxmlformats.org/officeDocument/2006/customXml" ds:itemID="{2A92906B-2923-4EEE-A834-5AE6D61B7750}">
  <ds:schemaRefs/>
</ds:datastoreItem>
</file>

<file path=customXml/itemProps82.xml><?xml version="1.0" encoding="utf-8"?>
<ds:datastoreItem xmlns:ds="http://schemas.openxmlformats.org/officeDocument/2006/customXml" ds:itemID="{36F4DE36-6BD7-4623-BE63-9BB95F3FDA28}">
  <ds:schemaRefs/>
</ds:datastoreItem>
</file>

<file path=customXml/itemProps83.xml><?xml version="1.0" encoding="utf-8"?>
<ds:datastoreItem xmlns:ds="http://schemas.openxmlformats.org/officeDocument/2006/customXml" ds:itemID="{2AB59C1F-C1B7-49C5-B289-719E7ED9BF89}">
  <ds:schemaRefs/>
</ds:datastoreItem>
</file>

<file path=customXml/itemProps84.xml><?xml version="1.0" encoding="utf-8"?>
<ds:datastoreItem xmlns:ds="http://schemas.openxmlformats.org/officeDocument/2006/customXml" ds:itemID="{870C7168-6A4A-4E8D-8AB8-DF0A07EB6F30}">
  <ds:schemaRefs/>
</ds:datastoreItem>
</file>

<file path=customXml/itemProps85.xml><?xml version="1.0" encoding="utf-8"?>
<ds:datastoreItem xmlns:ds="http://schemas.openxmlformats.org/officeDocument/2006/customXml" ds:itemID="{2614C88B-0F6E-40D4-9F09-DD0252499C0A}">
  <ds:schemaRefs/>
</ds:datastoreItem>
</file>

<file path=customXml/itemProps86.xml><?xml version="1.0" encoding="utf-8"?>
<ds:datastoreItem xmlns:ds="http://schemas.openxmlformats.org/officeDocument/2006/customXml" ds:itemID="{D0BBF241-CD65-46D4-AA52-6CD3133A4E64}">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47</Pages>
  <Words>13000</Words>
  <Characters>15796</Characters>
  <Lines>330</Lines>
  <Paragraphs>93</Paragraphs>
  <TotalTime>17</TotalTime>
  <ScaleCrop>false</ScaleCrop>
  <LinksUpToDate>false</LinksUpToDate>
  <CharactersWithSpaces>16007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Administrator</cp:lastModifiedBy>
  <dcterms:modified xsi:type="dcterms:W3CDTF">2024-01-05T09:48:08Z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288CBF8927CA4D51B72F0ED0DB98AE87_13</vt:lpwstr>
  </property>
</Properties>
</file>