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44"/>
          <w:szCs w:val="44"/>
        </w:rPr>
      </w:pPr>
      <w:r>
        <w:rPr>
          <w:rFonts w:hint="eastAsia" w:ascii="黑体" w:hAnsi="黑体" w:eastAsia="黑体" w:cs="宋体-方正超大字符集"/>
          <w:b/>
          <w:bCs/>
          <w:sz w:val="44"/>
          <w:szCs w:val="44"/>
        </w:rPr>
        <w:t>部门预算信息公开目录</w:t>
      </w:r>
    </w:p>
    <w:p>
      <w:pPr>
        <w:rPr>
          <w:rFonts w:ascii="仿宋" w:hAnsi="仿宋" w:eastAsia="仿宋" w:cs="仿宋_GB2312"/>
          <w:b/>
          <w:sz w:val="28"/>
          <w:szCs w:val="28"/>
        </w:rPr>
      </w:pPr>
    </w:p>
    <w:p>
      <w:pPr>
        <w:spacing w:line="400" w:lineRule="exact"/>
        <w:rPr>
          <w:rFonts w:ascii="仿宋" w:hAnsi="仿宋" w:eastAsia="仿宋" w:cs="仿宋_GB2312"/>
          <w:b/>
          <w:sz w:val="28"/>
          <w:szCs w:val="28"/>
        </w:rPr>
      </w:pPr>
      <w:r>
        <w:rPr>
          <w:rFonts w:hint="eastAsia" w:ascii="仿宋" w:hAnsi="仿宋" w:eastAsia="仿宋" w:cs="仿宋_GB2312"/>
          <w:b/>
          <w:sz w:val="28"/>
          <w:szCs w:val="28"/>
        </w:rPr>
        <w:t>部门预算公开表</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1</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2</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4</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6</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7</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8</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9</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10</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11</w:t>
      </w:r>
    </w:p>
    <w:p>
      <w:pPr>
        <w:spacing w:line="400" w:lineRule="exact"/>
        <w:jc w:val="left"/>
        <w:rPr>
          <w:rFonts w:ascii="仿宋" w:hAnsi="仿宋" w:eastAsia="仿宋" w:cs="仿宋_GB2312"/>
          <w:sz w:val="28"/>
          <w:szCs w:val="28"/>
        </w:rPr>
      </w:pPr>
    </w:p>
    <w:p>
      <w:pPr>
        <w:spacing w:line="400" w:lineRule="exact"/>
        <w:jc w:val="left"/>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13</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15</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15</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16</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16</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25</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26</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rPr>
        <w:t>27</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27</w:t>
      </w:r>
    </w:p>
    <w:p>
      <w:pPr>
        <w:jc w:val="left"/>
        <w:rPr>
          <w:rFonts w:ascii="宋体" w:hAnsi="宋体"/>
          <w:b/>
          <w:sz w:val="44"/>
        </w:rPr>
      </w:pPr>
    </w:p>
    <w:p>
      <w:pPr>
        <w:jc w:val="left"/>
        <w:rPr>
          <w:rFonts w:ascii="宋体" w:hAnsi="宋体"/>
          <w:b/>
          <w:sz w:val="44"/>
        </w:rPr>
      </w:pPr>
    </w:p>
    <w:p>
      <w:pPr>
        <w:jc w:val="center"/>
        <w:rPr>
          <w:rFonts w:ascii="宋体" w:hAnsi="宋体"/>
          <w:b/>
          <w:sz w:val="44"/>
        </w:rPr>
        <w:sectPr>
          <w:footerReference r:id="rId3" w:type="default"/>
          <w:pgSz w:w="11907" w:h="16839"/>
          <w:pgMar w:top="1531" w:right="510" w:bottom="1474" w:left="964" w:header="851" w:footer="992" w:gutter="0"/>
          <w:cols w:space="720" w:num="1"/>
          <w:docGrid w:type="lines" w:linePitch="312" w:charSpace="0"/>
        </w:sectPr>
      </w:pPr>
    </w:p>
    <w:p>
      <w:pPr>
        <w:jc w:val="center"/>
        <w:rPr>
          <w:rFonts w:ascii="宋体" w:hAnsi="宋体"/>
          <w:b/>
          <w:sz w:val="44"/>
        </w:rPr>
      </w:pPr>
    </w:p>
    <w:tbl>
      <w:tblPr>
        <w:tblStyle w:val="7"/>
        <w:tblW w:w="10649" w:type="dxa"/>
        <w:tblInd w:w="0" w:type="dxa"/>
        <w:tblLayout w:type="fixed"/>
        <w:tblCellMar>
          <w:top w:w="0" w:type="dxa"/>
          <w:left w:w="108" w:type="dxa"/>
          <w:bottom w:w="0" w:type="dxa"/>
          <w:right w:w="108" w:type="dxa"/>
        </w:tblCellMar>
      </w:tblPr>
      <w:tblGrid>
        <w:gridCol w:w="623"/>
        <w:gridCol w:w="3506"/>
        <w:gridCol w:w="1506"/>
        <w:gridCol w:w="3506"/>
        <w:gridCol w:w="1508"/>
      </w:tblGrid>
      <w:tr>
        <w:tblPrEx>
          <w:tblCellMar>
            <w:top w:w="0" w:type="dxa"/>
            <w:left w:w="108" w:type="dxa"/>
            <w:bottom w:w="0" w:type="dxa"/>
            <w:right w:w="108" w:type="dxa"/>
          </w:tblCellMar>
        </w:tblPrEx>
        <w:trPr>
          <w:trHeight w:val="750" w:hRule="atLeast"/>
        </w:trPr>
        <w:tc>
          <w:tcPr>
            <w:tcW w:w="10649" w:type="dxa"/>
            <w:gridSpan w:val="5"/>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部门预算收支总表</w:t>
            </w:r>
          </w:p>
        </w:tc>
      </w:tr>
      <w:tr>
        <w:tblPrEx>
          <w:tblCellMar>
            <w:top w:w="0" w:type="dxa"/>
            <w:left w:w="108" w:type="dxa"/>
            <w:bottom w:w="0" w:type="dxa"/>
            <w:right w:w="108" w:type="dxa"/>
          </w:tblCellMar>
        </w:tblPrEx>
        <w:trPr>
          <w:trHeight w:val="300" w:hRule="atLeast"/>
        </w:trPr>
        <w:tc>
          <w:tcPr>
            <w:tcW w:w="5635" w:type="dxa"/>
            <w:gridSpan w:val="3"/>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3506"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508"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623"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5012"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5014"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300" w:hRule="atLeast"/>
        </w:trPr>
        <w:tc>
          <w:tcPr>
            <w:tcW w:w="623"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5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c>
          <w:tcPr>
            <w:tcW w:w="35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508"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5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5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5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508"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一、财政拨款收入</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300.71</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二、上级拨款收入</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三、事业收入</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其中：财政专户收入</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四、经营收入</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五、附属单位上缴收入</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六、其他收入</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7.57</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67.69</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11</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12</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13</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957.65</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14</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十五、资源勘探信息等支出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21</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23</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24</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28</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31</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用事业基金弥补收支差额</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结余分配</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32</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年初结转和结余</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33</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35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r>
    </w:tbl>
    <w:p>
      <w:pPr>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tbl>
      <w:tblPr>
        <w:tblStyle w:val="7"/>
        <w:tblW w:w="10649" w:type="dxa"/>
        <w:tblInd w:w="0" w:type="dxa"/>
        <w:tblLayout w:type="fixed"/>
        <w:tblCellMar>
          <w:top w:w="0" w:type="dxa"/>
          <w:left w:w="108" w:type="dxa"/>
          <w:bottom w:w="0" w:type="dxa"/>
          <w:right w:w="108" w:type="dxa"/>
        </w:tblCellMar>
      </w:tblPr>
      <w:tblGrid>
        <w:gridCol w:w="396"/>
        <w:gridCol w:w="869"/>
        <w:gridCol w:w="3096"/>
        <w:gridCol w:w="846"/>
        <w:gridCol w:w="846"/>
        <w:gridCol w:w="1011"/>
        <w:gridCol w:w="642"/>
        <w:gridCol w:w="1036"/>
        <w:gridCol w:w="636"/>
        <w:gridCol w:w="634"/>
        <w:gridCol w:w="637"/>
      </w:tblGrid>
      <w:tr>
        <w:tblPrEx>
          <w:tblCellMar>
            <w:top w:w="0" w:type="dxa"/>
            <w:left w:w="108" w:type="dxa"/>
            <w:bottom w:w="0" w:type="dxa"/>
            <w:right w:w="108" w:type="dxa"/>
          </w:tblCellMar>
        </w:tblPrEx>
        <w:trPr>
          <w:trHeight w:val="750" w:hRule="atLeast"/>
        </w:trPr>
        <w:tc>
          <w:tcPr>
            <w:tcW w:w="10649" w:type="dxa"/>
            <w:gridSpan w:val="11"/>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部门预算收入总表</w:t>
            </w:r>
          </w:p>
        </w:tc>
      </w:tr>
      <w:tr>
        <w:tblPrEx>
          <w:tblCellMar>
            <w:top w:w="0" w:type="dxa"/>
            <w:left w:w="108" w:type="dxa"/>
            <w:bottom w:w="0" w:type="dxa"/>
            <w:right w:w="108" w:type="dxa"/>
          </w:tblCellMar>
        </w:tblPrEx>
        <w:trPr>
          <w:trHeight w:val="559" w:hRule="atLeast"/>
        </w:trPr>
        <w:tc>
          <w:tcPr>
            <w:tcW w:w="7706" w:type="dxa"/>
            <w:gridSpan w:val="7"/>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672" w:type="dxa"/>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271" w:type="dxa"/>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39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965"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84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本年收入合计</w:t>
            </w:r>
          </w:p>
        </w:tc>
        <w:tc>
          <w:tcPr>
            <w:tcW w:w="84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财政拨款收入</w:t>
            </w:r>
          </w:p>
        </w:tc>
        <w:tc>
          <w:tcPr>
            <w:tcW w:w="1011"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上级补助收入</w:t>
            </w:r>
          </w:p>
        </w:tc>
        <w:tc>
          <w:tcPr>
            <w:tcW w:w="1678"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事业收入</w:t>
            </w:r>
          </w:p>
        </w:tc>
        <w:tc>
          <w:tcPr>
            <w:tcW w:w="63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经营收入</w:t>
            </w:r>
          </w:p>
        </w:tc>
        <w:tc>
          <w:tcPr>
            <w:tcW w:w="634"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附属单位上缴收入</w:t>
            </w:r>
          </w:p>
        </w:tc>
        <w:tc>
          <w:tcPr>
            <w:tcW w:w="637"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其他收入</w:t>
            </w:r>
          </w:p>
        </w:tc>
      </w:tr>
      <w:tr>
        <w:tblPrEx>
          <w:tblCellMar>
            <w:top w:w="0" w:type="dxa"/>
            <w:left w:w="108" w:type="dxa"/>
            <w:bottom w:w="0" w:type="dxa"/>
            <w:right w:w="108" w:type="dxa"/>
          </w:tblCellMar>
        </w:tblPrEx>
        <w:trPr>
          <w:trHeight w:val="300" w:hRule="atLeast"/>
        </w:trPr>
        <w:tc>
          <w:tcPr>
            <w:tcW w:w="39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86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84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84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11"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642"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小计</w:t>
            </w:r>
          </w:p>
        </w:tc>
        <w:tc>
          <w:tcPr>
            <w:tcW w:w="10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其中：财政专户收入</w:t>
            </w:r>
          </w:p>
        </w:tc>
        <w:tc>
          <w:tcPr>
            <w:tcW w:w="63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634"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637"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86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84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84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011"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642"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0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6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63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637"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300.71</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300.71</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7.60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7.60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6.60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6.60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10</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民主党派及工商联事务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11</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2012801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12</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群众团体事务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13</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2012901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14</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文化旅游体育与传媒支出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文化和旅游</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67.69</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67.69</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20</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21</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22</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23</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24</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extAlignment w:val="center"/>
              <w:rPr>
                <w:rFonts w:ascii="宋体" w:hAnsi="宋体" w:cs="宋体"/>
                <w:color w:val="000000"/>
                <w:sz w:val="18"/>
                <w:szCs w:val="18"/>
              </w:rPr>
            </w:pPr>
            <w:r>
              <w:rPr>
                <w:rFonts w:hint="eastAsia" w:ascii="宋体" w:hAnsi="宋体" w:cs="宋体"/>
                <w:color w:val="000000"/>
                <w:sz w:val="18"/>
                <w:szCs w:val="18"/>
              </w:rPr>
              <w:t>28</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30</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31</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32</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33</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957.65</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957.65</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34</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123.95</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123.95</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35</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36</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其他农业支出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37</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38</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39</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40</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41</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42</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43</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44</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45</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消防事务</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46</w:t>
            </w: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2240204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消防应急救援</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 w:hAnsi="仿宋" w:eastAsia="仿宋" w:cs="仿宋_GB2312"/>
          <w:sz w:val="30"/>
          <w:szCs w:val="30"/>
        </w:rPr>
      </w:pPr>
    </w:p>
    <w:p>
      <w:pPr>
        <w:ind w:firstLine="450" w:firstLineChars="150"/>
        <w:rPr>
          <w:rFonts w:ascii="仿宋" w:hAnsi="仿宋" w:eastAsia="仿宋" w:cs="仿宋_GB2312"/>
          <w:sz w:val="30"/>
          <w:szCs w:val="30"/>
        </w:rPr>
      </w:pPr>
      <w:r>
        <w:rPr>
          <w:rFonts w:hint="eastAsia" w:ascii="仿宋" w:hAnsi="仿宋" w:eastAsia="仿宋" w:cs="仿宋_GB2312"/>
          <w:sz w:val="30"/>
          <w:szCs w:val="30"/>
        </w:rPr>
        <w:br w:type="page"/>
      </w:r>
    </w:p>
    <w:p>
      <w:pPr>
        <w:ind w:firstLine="450" w:firstLineChars="150"/>
        <w:rPr>
          <w:rFonts w:ascii="仿宋" w:hAnsi="仿宋" w:eastAsia="仿宋" w:cs="仿宋_GB2312"/>
          <w:sz w:val="30"/>
          <w:szCs w:val="30"/>
        </w:rPr>
      </w:pPr>
    </w:p>
    <w:tbl>
      <w:tblPr>
        <w:tblStyle w:val="7"/>
        <w:tblW w:w="10649" w:type="dxa"/>
        <w:tblInd w:w="0" w:type="dxa"/>
        <w:tblLayout w:type="fixed"/>
        <w:tblCellMar>
          <w:top w:w="0" w:type="dxa"/>
          <w:left w:w="108" w:type="dxa"/>
          <w:bottom w:w="0" w:type="dxa"/>
          <w:right w:w="108" w:type="dxa"/>
        </w:tblCellMar>
      </w:tblPr>
      <w:tblGrid>
        <w:gridCol w:w="442"/>
        <w:gridCol w:w="1154"/>
        <w:gridCol w:w="3096"/>
        <w:gridCol w:w="992"/>
        <w:gridCol w:w="997"/>
        <w:gridCol w:w="991"/>
        <w:gridCol w:w="993"/>
        <w:gridCol w:w="991"/>
        <w:gridCol w:w="993"/>
      </w:tblGrid>
      <w:tr>
        <w:tblPrEx>
          <w:tblCellMar>
            <w:top w:w="0" w:type="dxa"/>
            <w:left w:w="108" w:type="dxa"/>
            <w:bottom w:w="0" w:type="dxa"/>
            <w:right w:w="108" w:type="dxa"/>
          </w:tblCellMar>
        </w:tblPrEx>
        <w:trPr>
          <w:trHeight w:val="750" w:hRule="atLeast"/>
        </w:trPr>
        <w:tc>
          <w:tcPr>
            <w:tcW w:w="10649" w:type="dxa"/>
            <w:gridSpan w:val="9"/>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部门预算支出总表</w:t>
            </w:r>
          </w:p>
        </w:tc>
      </w:tr>
      <w:tr>
        <w:tblPrEx>
          <w:tblCellMar>
            <w:top w:w="0" w:type="dxa"/>
            <w:left w:w="108" w:type="dxa"/>
            <w:bottom w:w="0" w:type="dxa"/>
            <w:right w:w="108" w:type="dxa"/>
          </w:tblCellMar>
        </w:tblPrEx>
        <w:trPr>
          <w:trHeight w:val="300" w:hRule="atLeast"/>
        </w:trPr>
        <w:tc>
          <w:tcPr>
            <w:tcW w:w="6681" w:type="dxa"/>
            <w:gridSpan w:val="5"/>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984" w:type="dxa"/>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984" w:type="dxa"/>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442"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250"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本年支出合计</w:t>
            </w:r>
          </w:p>
        </w:tc>
        <w:tc>
          <w:tcPr>
            <w:tcW w:w="997"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991"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上缴上级支出</w:t>
            </w:r>
          </w:p>
        </w:tc>
        <w:tc>
          <w:tcPr>
            <w:tcW w:w="991"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经营支出</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对附属单位补助支出</w:t>
            </w:r>
          </w:p>
        </w:tc>
      </w:tr>
      <w:tr>
        <w:tblPrEx>
          <w:tblCellMar>
            <w:top w:w="0" w:type="dxa"/>
            <w:left w:w="108" w:type="dxa"/>
            <w:bottom w:w="0" w:type="dxa"/>
            <w:right w:w="108" w:type="dxa"/>
          </w:tblCellMar>
        </w:tblPrEx>
        <w:trPr>
          <w:trHeight w:val="300" w:hRule="atLeast"/>
        </w:trPr>
        <w:tc>
          <w:tcPr>
            <w:tcW w:w="442"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15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992"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997"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991"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991"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15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992"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997"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991"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993"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991"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993"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414.56</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942.88</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300.71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299.71</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7.60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6.60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6.60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6.60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247.92</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10</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民主党派及工商联事务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11</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2012801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12</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群众团体事务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13</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2012901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14</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文化旅游体育与传媒支出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文化和旅游</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67.69</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20</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21</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22</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23</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24</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28</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30</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31</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32</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33</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957.65</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932.70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33</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123.95</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34</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35</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其他农业支出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36</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37</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38</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39</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40</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41</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42</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43</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44</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消防事务</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45</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2240204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消防应急救援</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tbl>
      <w:tblPr>
        <w:tblStyle w:val="7"/>
        <w:tblW w:w="10649" w:type="dxa"/>
        <w:tblInd w:w="0" w:type="dxa"/>
        <w:tblLayout w:type="fixed"/>
        <w:tblCellMar>
          <w:top w:w="0" w:type="dxa"/>
          <w:left w:w="108" w:type="dxa"/>
          <w:bottom w:w="0" w:type="dxa"/>
          <w:right w:w="108" w:type="dxa"/>
        </w:tblCellMar>
      </w:tblPr>
      <w:tblGrid>
        <w:gridCol w:w="414"/>
        <w:gridCol w:w="2736"/>
        <w:gridCol w:w="915"/>
        <w:gridCol w:w="2918"/>
        <w:gridCol w:w="914"/>
        <w:gridCol w:w="916"/>
        <w:gridCol w:w="916"/>
        <w:gridCol w:w="920"/>
      </w:tblGrid>
      <w:tr>
        <w:tblPrEx>
          <w:tblCellMar>
            <w:top w:w="0" w:type="dxa"/>
            <w:left w:w="108" w:type="dxa"/>
            <w:bottom w:w="0" w:type="dxa"/>
            <w:right w:w="108" w:type="dxa"/>
          </w:tblCellMar>
        </w:tblPrEx>
        <w:trPr>
          <w:trHeight w:val="750" w:hRule="atLeast"/>
        </w:trPr>
        <w:tc>
          <w:tcPr>
            <w:tcW w:w="10649" w:type="dxa"/>
            <w:gridSpan w:val="8"/>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部门预算财政拨款收支总表</w:t>
            </w:r>
          </w:p>
        </w:tc>
      </w:tr>
      <w:tr>
        <w:tblPrEx>
          <w:tblCellMar>
            <w:top w:w="0" w:type="dxa"/>
            <w:left w:w="108" w:type="dxa"/>
            <w:bottom w:w="0" w:type="dxa"/>
            <w:right w:w="108" w:type="dxa"/>
          </w:tblCellMar>
        </w:tblPrEx>
        <w:trPr>
          <w:trHeight w:val="300" w:hRule="atLeast"/>
        </w:trPr>
        <w:tc>
          <w:tcPr>
            <w:tcW w:w="6983" w:type="dxa"/>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830" w:type="dxa"/>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836" w:type="dxa"/>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414"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651"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6584" w:type="dxa"/>
            <w:gridSpan w:val="5"/>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600" w:hRule="atLeast"/>
        </w:trPr>
        <w:tc>
          <w:tcPr>
            <w:tcW w:w="414"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7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915"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w:t>
            </w:r>
          </w:p>
        </w:tc>
        <w:tc>
          <w:tcPr>
            <w:tcW w:w="2918"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91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91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91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政府性基金预算财政拨款</w:t>
            </w:r>
          </w:p>
        </w:tc>
        <w:tc>
          <w:tcPr>
            <w:tcW w:w="92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27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915"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918"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91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91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91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92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一、一般公共预算财政拨款</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300.71</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300.71</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二、政府性基金预算财政拨款</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三、国有资本经营预算财政拨款</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7.57</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7.57</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67.69</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67.69</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10</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13</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957.65</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957.65</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14</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十五、资源勘探信息等支出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20</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23</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24</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28</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30</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年初财政拨款结转和结余</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29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1357.44</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tbl>
      <w:tblPr>
        <w:tblStyle w:val="7"/>
        <w:tblW w:w="10649" w:type="dxa"/>
        <w:tblInd w:w="0" w:type="dxa"/>
        <w:tblLayout w:type="fixed"/>
        <w:tblCellMar>
          <w:top w:w="0" w:type="dxa"/>
          <w:left w:w="108" w:type="dxa"/>
          <w:bottom w:w="0" w:type="dxa"/>
          <w:right w:w="108" w:type="dxa"/>
        </w:tblCellMar>
      </w:tblPr>
      <w:tblGrid>
        <w:gridCol w:w="396"/>
        <w:gridCol w:w="1070"/>
        <w:gridCol w:w="3096"/>
        <w:gridCol w:w="2035"/>
        <w:gridCol w:w="2018"/>
        <w:gridCol w:w="2034"/>
      </w:tblGrid>
      <w:tr>
        <w:tblPrEx>
          <w:tblCellMar>
            <w:top w:w="0" w:type="dxa"/>
            <w:left w:w="108" w:type="dxa"/>
            <w:bottom w:w="0" w:type="dxa"/>
            <w:right w:w="108" w:type="dxa"/>
          </w:tblCellMar>
        </w:tblPrEx>
        <w:trPr>
          <w:trHeight w:val="750" w:hRule="atLeast"/>
        </w:trPr>
        <w:tc>
          <w:tcPr>
            <w:tcW w:w="10649" w:type="dxa"/>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部门预算一般公共预算财政拨款支出表</w:t>
            </w:r>
          </w:p>
        </w:tc>
      </w:tr>
      <w:tr>
        <w:tblPrEx>
          <w:tblCellMar>
            <w:top w:w="0" w:type="dxa"/>
            <w:left w:w="108" w:type="dxa"/>
            <w:bottom w:w="0" w:type="dxa"/>
            <w:right w:w="108" w:type="dxa"/>
          </w:tblCellMar>
        </w:tblPrEx>
        <w:trPr>
          <w:trHeight w:val="300" w:hRule="atLeast"/>
        </w:trPr>
        <w:tc>
          <w:tcPr>
            <w:tcW w:w="6597" w:type="dxa"/>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2018"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034"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39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166"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2035"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018"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2034"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trPr>
        <w:tc>
          <w:tcPr>
            <w:tcW w:w="39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7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035"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018"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034"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07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035"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018"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03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1357.44</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414.56</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942.88</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一般公共服务支出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300.71</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299.71</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人大事务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7.60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6.60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行政运行</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6.60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6.60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5</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代表工作</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政府办公厅（室）及相关机构事务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247.92</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247.92</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行政运行</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247.92</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247.92</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19.76</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民主党派及工商联事务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2012801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18.21</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群众团体事务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2012901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7.22</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文化旅游体育与传媒支出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文化和旅游</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5.07</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67.69</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67.02</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957.65</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932.70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34</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123.95</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24.95</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其他农业支出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99.00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37</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38</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39</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40</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832.70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41</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42</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43</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44</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45</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消防事务</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46</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2240204</w:t>
            </w:r>
          </w:p>
        </w:tc>
        <w:tc>
          <w:tcPr>
            <w:tcW w:w="3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消防应急救援</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0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bl>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tbl>
      <w:tblPr>
        <w:tblStyle w:val="7"/>
        <w:tblW w:w="10649" w:type="dxa"/>
        <w:tblInd w:w="0" w:type="dxa"/>
        <w:tblLayout w:type="fixed"/>
        <w:tblCellMar>
          <w:top w:w="0" w:type="dxa"/>
          <w:left w:w="108" w:type="dxa"/>
          <w:bottom w:w="0" w:type="dxa"/>
          <w:right w:w="108" w:type="dxa"/>
        </w:tblCellMar>
      </w:tblPr>
      <w:tblGrid>
        <w:gridCol w:w="443"/>
        <w:gridCol w:w="1161"/>
        <w:gridCol w:w="2736"/>
        <w:gridCol w:w="2106"/>
        <w:gridCol w:w="2099"/>
        <w:gridCol w:w="2104"/>
      </w:tblGrid>
      <w:tr>
        <w:tblPrEx>
          <w:tblCellMar>
            <w:top w:w="0" w:type="dxa"/>
            <w:left w:w="108" w:type="dxa"/>
            <w:bottom w:w="0" w:type="dxa"/>
            <w:right w:w="108" w:type="dxa"/>
          </w:tblCellMar>
        </w:tblPrEx>
        <w:trPr>
          <w:trHeight w:val="750" w:hRule="atLeast"/>
        </w:trPr>
        <w:tc>
          <w:tcPr>
            <w:tcW w:w="10649" w:type="dxa"/>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部门预算一般公共预算财政拨款基本支出表</w:t>
            </w:r>
          </w:p>
        </w:tc>
      </w:tr>
      <w:tr>
        <w:tblPrEx>
          <w:tblCellMar>
            <w:top w:w="0" w:type="dxa"/>
            <w:left w:w="108" w:type="dxa"/>
            <w:bottom w:w="0" w:type="dxa"/>
            <w:right w:w="108" w:type="dxa"/>
          </w:tblCellMar>
        </w:tblPrEx>
        <w:trPr>
          <w:trHeight w:val="300" w:hRule="atLeast"/>
        </w:trPr>
        <w:tc>
          <w:tcPr>
            <w:tcW w:w="6446" w:type="dxa"/>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2099"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104"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443"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897"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6309" w:type="dxa"/>
            <w:gridSpan w:val="3"/>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r>
      <w:tr>
        <w:tblPrEx>
          <w:tblCellMar>
            <w:top w:w="0" w:type="dxa"/>
            <w:left w:w="108" w:type="dxa"/>
            <w:bottom w:w="0" w:type="dxa"/>
            <w:right w:w="108" w:type="dxa"/>
          </w:tblCellMar>
        </w:tblPrEx>
        <w:trPr>
          <w:trHeight w:val="300" w:hRule="atLeast"/>
        </w:trPr>
        <w:tc>
          <w:tcPr>
            <w:tcW w:w="443"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161"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经济分类科目编码</w:t>
            </w:r>
          </w:p>
        </w:tc>
        <w:tc>
          <w:tcPr>
            <w:tcW w:w="27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1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09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人员经费</w:t>
            </w:r>
          </w:p>
        </w:tc>
        <w:tc>
          <w:tcPr>
            <w:tcW w:w="210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公用经费</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161"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27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1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09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104"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414.56</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374.96</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39.60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工资福利支出</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355.58</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355.58</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基本工资</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125.75</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125.75</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津贴补贴</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102.09</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102.09</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30103</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奖金</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16.82</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16.82</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30107</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绩效工资</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8.82</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8.82</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30108</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47.87</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30109</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职业年金缴费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19.15</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30110</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城镇职工基本医疗保险缴费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13.35</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13.35</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其他社会保障缴费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2.27</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2.27</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30113</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17.81</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30199</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其他工资福利支出</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1.65</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1.65</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商品和服务支出</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55.44</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15.84</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39.60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办公费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8.50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8.50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30202</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印刷费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4.60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4.60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30206</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电费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30207</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邮电费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30208</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取暖费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8.00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差旅费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20</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30217</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公务接待费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21</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30231</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公务用车运行维护费</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22</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30239</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其他交通费用</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15.84</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15.84</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23</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对个人和家庭的补助</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3.54</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3.54</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24</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30305</w:t>
            </w:r>
          </w:p>
        </w:tc>
        <w:tc>
          <w:tcPr>
            <w:tcW w:w="2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生活补助</w:t>
            </w:r>
          </w:p>
        </w:tc>
        <w:tc>
          <w:tcPr>
            <w:tcW w:w="21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3.54</w:t>
            </w:r>
          </w:p>
        </w:tc>
        <w:tc>
          <w:tcPr>
            <w:tcW w:w="20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3.54</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tbl>
      <w:tblPr>
        <w:tblStyle w:val="7"/>
        <w:tblW w:w="10649" w:type="dxa"/>
        <w:tblInd w:w="0" w:type="dxa"/>
        <w:tblLayout w:type="fixed"/>
        <w:tblCellMar>
          <w:top w:w="0" w:type="dxa"/>
          <w:left w:w="108" w:type="dxa"/>
          <w:bottom w:w="0" w:type="dxa"/>
          <w:right w:w="108" w:type="dxa"/>
        </w:tblCellMar>
      </w:tblPr>
      <w:tblGrid>
        <w:gridCol w:w="549"/>
        <w:gridCol w:w="1267"/>
        <w:gridCol w:w="2206"/>
        <w:gridCol w:w="2209"/>
        <w:gridCol w:w="2206"/>
        <w:gridCol w:w="2212"/>
      </w:tblGrid>
      <w:tr>
        <w:tblPrEx>
          <w:tblCellMar>
            <w:top w:w="0" w:type="dxa"/>
            <w:left w:w="108" w:type="dxa"/>
            <w:bottom w:w="0" w:type="dxa"/>
            <w:right w:w="108" w:type="dxa"/>
          </w:tblCellMar>
        </w:tblPrEx>
        <w:trPr>
          <w:trHeight w:val="750" w:hRule="atLeast"/>
        </w:trPr>
        <w:tc>
          <w:tcPr>
            <w:tcW w:w="10649" w:type="dxa"/>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部门预算政府基金预算财政拨款支出表</w:t>
            </w:r>
          </w:p>
        </w:tc>
      </w:tr>
      <w:tr>
        <w:tblPrEx>
          <w:tblCellMar>
            <w:top w:w="0" w:type="dxa"/>
            <w:left w:w="108" w:type="dxa"/>
            <w:bottom w:w="0" w:type="dxa"/>
            <w:right w:w="108" w:type="dxa"/>
          </w:tblCellMar>
        </w:tblPrEx>
        <w:trPr>
          <w:trHeight w:val="300" w:hRule="atLeast"/>
        </w:trPr>
        <w:tc>
          <w:tcPr>
            <w:tcW w:w="6231" w:type="dxa"/>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2206"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212"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549"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473"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2209"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20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2212"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trPr>
        <w:tc>
          <w:tcPr>
            <w:tcW w:w="549"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267"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22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209"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0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12"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54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267"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22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20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2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212"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trPr>
        <w:tc>
          <w:tcPr>
            <w:tcW w:w="5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color w:val="000000"/>
                <w:sz w:val="18"/>
                <w:szCs w:val="18"/>
              </w:rPr>
            </w:pPr>
          </w:p>
        </w:tc>
        <w:tc>
          <w:tcPr>
            <w:tcW w:w="22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2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2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2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270" w:firstLineChars="150"/>
        <w:rPr>
          <w:rFonts w:ascii="仿宋" w:hAnsi="仿宋" w:eastAsia="仿宋" w:cs="宋体"/>
          <w:kern w:val="0"/>
          <w:sz w:val="18"/>
          <w:szCs w:val="18"/>
        </w:rPr>
      </w:pPr>
      <w:r>
        <w:rPr>
          <w:rFonts w:hint="eastAsia" w:ascii="仿宋" w:hAnsi="仿宋" w:eastAsia="仿宋" w:cs="宋体"/>
          <w:kern w:val="0"/>
          <w:sz w:val="18"/>
          <w:szCs w:val="18"/>
        </w:rPr>
        <w:t>注：无政府基金预算，空表列示。</w:t>
      </w:r>
    </w:p>
    <w:p>
      <w:pPr>
        <w:ind w:firstLine="270" w:firstLineChars="150"/>
        <w:rPr>
          <w:rFonts w:ascii="仿宋" w:hAnsi="仿宋" w:eastAsia="仿宋" w:cs="仿宋_GB2312"/>
          <w:sz w:val="30"/>
          <w:szCs w:val="30"/>
        </w:rPr>
      </w:pPr>
      <w:r>
        <w:rPr>
          <w:rFonts w:hint="eastAsia" w:ascii="仿宋" w:hAnsi="仿宋" w:eastAsia="仿宋" w:cs="宋体"/>
          <w:kern w:val="0"/>
          <w:sz w:val="18"/>
          <w:szCs w:val="18"/>
        </w:rPr>
        <w:br w:type="page"/>
      </w:r>
    </w:p>
    <w:tbl>
      <w:tblPr>
        <w:tblStyle w:val="7"/>
        <w:tblW w:w="10649" w:type="dxa"/>
        <w:tblInd w:w="0" w:type="dxa"/>
        <w:tblLayout w:type="fixed"/>
        <w:tblCellMar>
          <w:top w:w="0" w:type="dxa"/>
          <w:left w:w="108" w:type="dxa"/>
          <w:bottom w:w="0" w:type="dxa"/>
          <w:right w:w="108" w:type="dxa"/>
        </w:tblCellMar>
      </w:tblPr>
      <w:tblGrid>
        <w:gridCol w:w="549"/>
        <w:gridCol w:w="1267"/>
        <w:gridCol w:w="2206"/>
        <w:gridCol w:w="2211"/>
        <w:gridCol w:w="2206"/>
        <w:gridCol w:w="2210"/>
      </w:tblGrid>
      <w:tr>
        <w:tblPrEx>
          <w:tblCellMar>
            <w:top w:w="0" w:type="dxa"/>
            <w:left w:w="108" w:type="dxa"/>
            <w:bottom w:w="0" w:type="dxa"/>
            <w:right w:w="108" w:type="dxa"/>
          </w:tblCellMar>
        </w:tblPrEx>
        <w:trPr>
          <w:trHeight w:val="750" w:hRule="atLeast"/>
        </w:trPr>
        <w:tc>
          <w:tcPr>
            <w:tcW w:w="10649" w:type="dxa"/>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部门预算国有资本经营预算财政拨款支出表</w:t>
            </w:r>
          </w:p>
        </w:tc>
      </w:tr>
      <w:tr>
        <w:tblPrEx>
          <w:tblCellMar>
            <w:top w:w="0" w:type="dxa"/>
            <w:left w:w="108" w:type="dxa"/>
            <w:bottom w:w="0" w:type="dxa"/>
            <w:right w:w="108" w:type="dxa"/>
          </w:tblCellMar>
        </w:tblPrEx>
        <w:trPr>
          <w:trHeight w:val="300" w:hRule="atLeast"/>
        </w:trPr>
        <w:tc>
          <w:tcPr>
            <w:tcW w:w="6233" w:type="dxa"/>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2206"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210"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549"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473" w:type="dxa"/>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2211"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20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2210"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trPr>
        <w:tc>
          <w:tcPr>
            <w:tcW w:w="549"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267"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220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211"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0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10"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54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267" w:type="dxa"/>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06" w:type="dxa"/>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11" w:type="dxa"/>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06" w:type="dxa"/>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2210" w:type="dxa"/>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549" w:type="dxa"/>
            <w:tcBorders>
              <w:top w:val="single" w:color="auto" w:sz="4" w:space="0"/>
              <w:left w:val="nil"/>
              <w:bottom w:val="nil"/>
              <w:right w:val="nil"/>
            </w:tcBorders>
            <w:shd w:val="clear" w:color="auto" w:fill="auto"/>
          </w:tcPr>
          <w:p>
            <w:pPr>
              <w:rPr>
                <w:rFonts w:ascii="宋体" w:hAnsi="宋体" w:cs="宋体"/>
                <w:color w:val="000000"/>
                <w:sz w:val="18"/>
                <w:szCs w:val="18"/>
              </w:rPr>
            </w:pPr>
          </w:p>
        </w:tc>
        <w:tc>
          <w:tcPr>
            <w:tcW w:w="1267" w:type="dxa"/>
            <w:tcBorders>
              <w:top w:val="single" w:color="auto" w:sz="4" w:space="0"/>
              <w:left w:val="nil"/>
              <w:bottom w:val="nil"/>
              <w:right w:val="nil"/>
            </w:tcBorders>
            <w:shd w:val="clear" w:color="auto" w:fill="auto"/>
          </w:tcPr>
          <w:p>
            <w:pPr>
              <w:rPr>
                <w:rFonts w:ascii="宋体" w:hAnsi="宋体" w:cs="宋体"/>
                <w:color w:val="000000"/>
                <w:sz w:val="18"/>
                <w:szCs w:val="18"/>
              </w:rPr>
            </w:pPr>
          </w:p>
        </w:tc>
        <w:tc>
          <w:tcPr>
            <w:tcW w:w="2206" w:type="dxa"/>
            <w:tcBorders>
              <w:top w:val="single" w:color="auto" w:sz="4" w:space="0"/>
              <w:left w:val="nil"/>
              <w:bottom w:val="nil"/>
              <w:right w:val="nil"/>
            </w:tcBorders>
            <w:shd w:val="clear" w:color="auto" w:fill="auto"/>
          </w:tcPr>
          <w:p>
            <w:pPr>
              <w:rPr>
                <w:rFonts w:ascii="宋体" w:hAnsi="宋体" w:cs="宋体"/>
                <w:color w:val="000000"/>
                <w:sz w:val="18"/>
                <w:szCs w:val="18"/>
              </w:rPr>
            </w:pPr>
          </w:p>
        </w:tc>
        <w:tc>
          <w:tcPr>
            <w:tcW w:w="2211" w:type="dxa"/>
            <w:tcBorders>
              <w:top w:val="single" w:color="auto" w:sz="4" w:space="0"/>
              <w:left w:val="nil"/>
              <w:bottom w:val="nil"/>
              <w:right w:val="nil"/>
            </w:tcBorders>
            <w:shd w:val="clear" w:color="auto" w:fill="auto"/>
          </w:tcPr>
          <w:p>
            <w:pPr>
              <w:rPr>
                <w:rFonts w:ascii="宋体" w:hAnsi="宋体" w:cs="宋体"/>
                <w:color w:val="000000"/>
                <w:sz w:val="18"/>
                <w:szCs w:val="18"/>
              </w:rPr>
            </w:pPr>
          </w:p>
        </w:tc>
        <w:tc>
          <w:tcPr>
            <w:tcW w:w="2206" w:type="dxa"/>
            <w:tcBorders>
              <w:top w:val="single" w:color="auto" w:sz="4" w:space="0"/>
              <w:left w:val="nil"/>
              <w:bottom w:val="nil"/>
              <w:right w:val="nil"/>
            </w:tcBorders>
            <w:shd w:val="clear" w:color="auto" w:fill="auto"/>
          </w:tcPr>
          <w:p>
            <w:pPr>
              <w:rPr>
                <w:rFonts w:ascii="宋体" w:hAnsi="宋体" w:cs="宋体"/>
                <w:color w:val="000000"/>
                <w:sz w:val="18"/>
                <w:szCs w:val="18"/>
              </w:rPr>
            </w:pPr>
          </w:p>
        </w:tc>
        <w:tc>
          <w:tcPr>
            <w:tcW w:w="2210" w:type="dxa"/>
            <w:tcBorders>
              <w:top w:val="single" w:color="auto" w:sz="4" w:space="0"/>
              <w:left w:val="nil"/>
              <w:bottom w:val="nil"/>
              <w:right w:val="nil"/>
            </w:tcBorders>
            <w:shd w:val="clear" w:color="auto" w:fill="auto"/>
          </w:tcPr>
          <w:p>
            <w:pPr>
              <w:rPr>
                <w:rFonts w:ascii="宋体" w:hAnsi="宋体" w:cs="宋体"/>
                <w:color w:val="000000"/>
                <w:sz w:val="18"/>
                <w:szCs w:val="18"/>
              </w:rPr>
            </w:pPr>
          </w:p>
        </w:tc>
      </w:tr>
    </w:tbl>
    <w:p>
      <w:pPr>
        <w:ind w:firstLine="450" w:firstLineChars="150"/>
        <w:rPr>
          <w:rFonts w:ascii="仿宋_GB2312" w:hAnsi="仿宋_GB2312" w:eastAsia="仿宋_GB2312" w:cs="仿宋_GB2312"/>
          <w:sz w:val="30"/>
          <w:szCs w:val="30"/>
        </w:rPr>
      </w:pPr>
    </w:p>
    <w:p>
      <w:pPr>
        <w:ind w:firstLine="270" w:firstLineChars="150"/>
        <w:rPr>
          <w:rFonts w:ascii="仿宋" w:hAnsi="仿宋" w:eastAsia="仿宋" w:cs="宋体"/>
          <w:kern w:val="0"/>
          <w:sz w:val="18"/>
          <w:szCs w:val="18"/>
        </w:rPr>
      </w:pPr>
      <w:r>
        <w:rPr>
          <w:rFonts w:hint="eastAsia" w:ascii="仿宋" w:hAnsi="仿宋" w:eastAsia="仿宋" w:cs="宋体"/>
          <w:kern w:val="0"/>
          <w:sz w:val="18"/>
          <w:szCs w:val="18"/>
        </w:rPr>
        <w:t>注：无国有资本经营预算，空表列示。</w:t>
      </w: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p>
      <w:pPr>
        <w:ind w:firstLine="450" w:firstLineChars="150"/>
        <w:rPr>
          <w:rFonts w:ascii="仿宋_GB2312" w:hAnsi="仿宋_GB2312" w:eastAsia="仿宋_GB2312" w:cs="仿宋_GB2312"/>
          <w:sz w:val="30"/>
          <w:szCs w:val="30"/>
        </w:rPr>
      </w:pPr>
    </w:p>
    <w:tbl>
      <w:tblPr>
        <w:tblStyle w:val="7"/>
        <w:tblW w:w="10649" w:type="dxa"/>
        <w:tblInd w:w="0" w:type="dxa"/>
        <w:tblLayout w:type="fixed"/>
        <w:tblCellMar>
          <w:top w:w="0" w:type="dxa"/>
          <w:left w:w="108" w:type="dxa"/>
          <w:bottom w:w="0" w:type="dxa"/>
          <w:right w:w="108" w:type="dxa"/>
        </w:tblCellMar>
      </w:tblPr>
      <w:tblGrid>
        <w:gridCol w:w="396"/>
        <w:gridCol w:w="3636"/>
        <w:gridCol w:w="1230"/>
        <w:gridCol w:w="1339"/>
        <w:gridCol w:w="1356"/>
        <w:gridCol w:w="1342"/>
        <w:gridCol w:w="1350"/>
      </w:tblGrid>
      <w:tr>
        <w:tblPrEx>
          <w:tblCellMar>
            <w:top w:w="0" w:type="dxa"/>
            <w:left w:w="108" w:type="dxa"/>
            <w:bottom w:w="0" w:type="dxa"/>
            <w:right w:w="108" w:type="dxa"/>
          </w:tblCellMar>
        </w:tblPrEx>
        <w:trPr>
          <w:trHeight w:val="750" w:hRule="atLeast"/>
        </w:trPr>
        <w:tc>
          <w:tcPr>
            <w:tcW w:w="10649" w:type="dxa"/>
            <w:gridSpan w:val="7"/>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部门预算财政拨款“三公”经费支出表</w:t>
            </w:r>
          </w:p>
        </w:tc>
      </w:tr>
      <w:tr>
        <w:tblPrEx>
          <w:tblCellMar>
            <w:top w:w="0" w:type="dxa"/>
            <w:left w:w="108" w:type="dxa"/>
            <w:bottom w:w="0" w:type="dxa"/>
            <w:right w:w="108" w:type="dxa"/>
          </w:tblCellMar>
        </w:tblPrEx>
        <w:trPr>
          <w:trHeight w:val="300" w:hRule="atLeast"/>
        </w:trPr>
        <w:tc>
          <w:tcPr>
            <w:tcW w:w="7957" w:type="dxa"/>
            <w:gridSpan w:val="5"/>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342"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350" w:type="dxa"/>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39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636" w:type="dxa"/>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6617" w:type="dxa"/>
            <w:gridSpan w:val="5"/>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资金来源</w:t>
            </w:r>
          </w:p>
        </w:tc>
      </w:tr>
      <w:tr>
        <w:tblPrEx>
          <w:tblCellMar>
            <w:top w:w="0" w:type="dxa"/>
            <w:left w:w="108" w:type="dxa"/>
            <w:bottom w:w="0" w:type="dxa"/>
            <w:right w:w="108" w:type="dxa"/>
          </w:tblCellMar>
        </w:tblPrEx>
        <w:trPr>
          <w:trHeight w:val="300" w:hRule="atLeast"/>
        </w:trPr>
        <w:tc>
          <w:tcPr>
            <w:tcW w:w="39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3636" w:type="dxa"/>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23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33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35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政府性基金财政拨款</w:t>
            </w:r>
          </w:p>
        </w:tc>
        <w:tc>
          <w:tcPr>
            <w:tcW w:w="1342"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c>
          <w:tcPr>
            <w:tcW w:w="135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财政专户核拨资金</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63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23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339"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356"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342"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350" w:type="dxa"/>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“三公”经费小计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14.00</w:t>
            </w: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14.00</w:t>
            </w: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一、因公出国（境）费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其中：教学科研人员因公出国（境）费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其他因公出国（境）费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二、公务用车购置及运维费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其中：公务用车购置费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公务用车运行维护费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3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36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三、公务接待费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3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jc w:val="center"/>
        <w:rPr>
          <w:rFonts w:ascii="宋体" w:hAnsi="宋体"/>
          <w:b/>
          <w:sz w:val="44"/>
        </w:rPr>
      </w:pPr>
      <w:r>
        <w:rPr>
          <w:rFonts w:hint="eastAsia" w:ascii="仿宋_GB2312" w:hAnsi="仿宋_GB2312" w:eastAsia="仿宋_GB2312" w:cs="仿宋_GB2312"/>
          <w:sz w:val="30"/>
          <w:szCs w:val="30"/>
        </w:rPr>
        <w:br w:type="page"/>
      </w:r>
      <w:r>
        <w:rPr>
          <w:rFonts w:hint="eastAsia" w:ascii="宋体" w:hAnsi="宋体"/>
          <w:b/>
          <w:sz w:val="44"/>
        </w:rPr>
        <w:t>涞源县金家井乡2019年部门预算信息公开情况说明</w:t>
      </w:r>
    </w:p>
    <w:p>
      <w:pPr>
        <w:jc w:val="center"/>
        <w:rPr>
          <w:rFonts w:ascii="宋体" w:hAnsi="宋体"/>
          <w:b/>
          <w:sz w:val="44"/>
        </w:rPr>
      </w:pPr>
    </w:p>
    <w:p>
      <w:pPr>
        <w:ind w:firstLine="640" w:firstLineChars="200"/>
        <w:rPr>
          <w:rFonts w:ascii="仿宋" w:hAnsi="仿宋" w:eastAsia="仿宋"/>
          <w:sz w:val="32"/>
        </w:rPr>
      </w:pPr>
      <w:r>
        <w:rPr>
          <w:rFonts w:hint="eastAsia" w:ascii="仿宋" w:hAnsi="仿宋" w:eastAsia="仿宋"/>
          <w:color w:val="000000" w:themeColor="text1"/>
          <w:sz w:val="32"/>
          <w14:textFill>
            <w14:solidFill>
              <w14:schemeClr w14:val="tx1"/>
            </w14:solidFill>
          </w14:textFill>
        </w:rPr>
        <w:t>按照《</w:t>
      </w:r>
      <w:r>
        <w:rPr>
          <w:rFonts w:hint="eastAsia" w:ascii="仿宋" w:hAnsi="仿宋" w:eastAsia="仿宋"/>
          <w:color w:val="000000" w:themeColor="text1"/>
          <w:sz w:val="32"/>
          <w:lang w:val="en-US" w:eastAsia="zh-CN"/>
          <w14:textFill>
            <w14:solidFill>
              <w14:schemeClr w14:val="tx1"/>
            </w14:solidFill>
          </w14:textFill>
        </w:rPr>
        <w:t>中华人民共和国</w:t>
      </w:r>
      <w:r>
        <w:rPr>
          <w:rFonts w:hint="eastAsia" w:ascii="仿宋" w:hAnsi="仿宋" w:eastAsia="仿宋"/>
          <w:color w:val="000000" w:themeColor="text1"/>
          <w:sz w:val="32"/>
          <w14:textFill>
            <w14:solidFill>
              <w14:schemeClr w14:val="tx1"/>
            </w14:solidFill>
          </w14:textFill>
        </w:rPr>
        <w:t>预算法》、《地方预决算公开操作规程》和《河北省省级预算公开办法》规定，现</w:t>
      </w:r>
      <w:r>
        <w:rPr>
          <w:rFonts w:hint="eastAsia" w:ascii="仿宋" w:hAnsi="仿宋" w:eastAsia="仿宋"/>
          <w:sz w:val="32"/>
        </w:rPr>
        <w:t>将涞源县金家井乡人民政府2019年部门预算公开如下：</w:t>
      </w:r>
    </w:p>
    <w:p>
      <w:pPr>
        <w:widowControl/>
        <w:spacing w:line="600" w:lineRule="exact"/>
        <w:ind w:firstLine="630" w:firstLineChars="196"/>
        <w:rPr>
          <w:rFonts w:ascii="宋体" w:hAnsi="宋体" w:cs="宋体"/>
          <w:b/>
          <w:color w:val="111111"/>
          <w:kern w:val="0"/>
          <w:sz w:val="32"/>
          <w:szCs w:val="32"/>
        </w:rPr>
      </w:pPr>
      <w:r>
        <w:rPr>
          <w:rFonts w:hint="eastAsia" w:ascii="宋体" w:hAnsi="宋体" w:cs="宋体"/>
          <w:b/>
          <w:color w:val="111111"/>
          <w:kern w:val="0"/>
          <w:sz w:val="32"/>
          <w:szCs w:val="32"/>
        </w:rPr>
        <w:t>一、部门职责及机构设置情况</w:t>
      </w:r>
    </w:p>
    <w:p>
      <w:pPr>
        <w:widowControl/>
        <w:spacing w:line="600" w:lineRule="exact"/>
        <w:ind w:firstLine="630" w:firstLineChars="196"/>
        <w:rPr>
          <w:rFonts w:ascii="仿宋" w:hAnsi="仿宋" w:eastAsia="仿宋" w:cs="宋体"/>
          <w:b/>
          <w:color w:val="111111"/>
          <w:kern w:val="0"/>
          <w:sz w:val="32"/>
          <w:szCs w:val="32"/>
        </w:rPr>
      </w:pPr>
      <w:r>
        <w:rPr>
          <w:rFonts w:hint="eastAsia" w:ascii="仿宋" w:hAnsi="仿宋" w:eastAsia="仿宋" w:cs="宋体"/>
          <w:b/>
          <w:color w:val="111111"/>
          <w:kern w:val="0"/>
          <w:sz w:val="32"/>
          <w:szCs w:val="32"/>
        </w:rPr>
        <w:t>部门职责</w:t>
      </w:r>
    </w:p>
    <w:p>
      <w:pPr>
        <w:pStyle w:val="19"/>
        <w:spacing w:line="580" w:lineRule="atLeast"/>
        <w:ind w:firstLine="538"/>
        <w:rPr>
          <w:rFonts w:ascii="仿宋_GB2312" w:eastAsia="仿宋_GB2312"/>
          <w:sz w:val="32"/>
          <w:szCs w:val="32"/>
        </w:rPr>
      </w:pPr>
      <w:r>
        <w:rPr>
          <w:rFonts w:hint="eastAsia" w:ascii="仿宋" w:hAnsi="仿宋" w:eastAsia="仿宋" w:cs="宋体"/>
          <w:b/>
          <w:color w:val="111111"/>
          <w:sz w:val="32"/>
          <w:szCs w:val="32"/>
        </w:rPr>
        <w:t>（一）</w:t>
      </w:r>
      <w:r>
        <w:rPr>
          <w:rFonts w:hint="eastAsia" w:ascii="仿宋_GB2312" w:eastAsia="仿宋_GB2312"/>
          <w:sz w:val="32"/>
          <w:szCs w:val="32"/>
        </w:rPr>
        <w:t>财政所：负责乡镇财政预算及执行，监管乡镇、村专项资金的使用，开展绩效分析，搞好定期定补人员的管理。</w:t>
      </w:r>
    </w:p>
    <w:p>
      <w:pPr>
        <w:pStyle w:val="19"/>
        <w:spacing w:line="580" w:lineRule="atLeast"/>
        <w:ind w:firstLine="538"/>
        <w:rPr>
          <w:rFonts w:ascii="仿宋_GB2312" w:eastAsia="仿宋_GB2312"/>
          <w:sz w:val="32"/>
          <w:szCs w:val="32"/>
        </w:rPr>
      </w:pPr>
      <w:r>
        <w:rPr>
          <w:rFonts w:hint="eastAsia" w:ascii="仿宋" w:hAnsi="仿宋" w:eastAsia="仿宋"/>
          <w:b/>
          <w:sz w:val="32"/>
          <w:szCs w:val="32"/>
        </w:rPr>
        <w:t>（二）</w:t>
      </w:r>
      <w:r>
        <w:rPr>
          <w:rFonts w:hint="eastAsia" w:ascii="仿宋_GB2312" w:eastAsia="仿宋_GB2312"/>
          <w:sz w:val="32"/>
          <w:szCs w:val="32"/>
        </w:rPr>
        <w:t>财政所：负责乡镇财政预算及执行，监管乡镇、村专项资金的使用，开展绩效分析，搞好定期定补人员的管理。</w:t>
      </w:r>
    </w:p>
    <w:p>
      <w:pPr>
        <w:pStyle w:val="19"/>
        <w:spacing w:line="580" w:lineRule="atLeast"/>
        <w:ind w:firstLine="538"/>
        <w:rPr>
          <w:rFonts w:ascii="仿宋_GB2312" w:eastAsia="仿宋_GB2312"/>
          <w:sz w:val="32"/>
          <w:szCs w:val="32"/>
        </w:rPr>
      </w:pPr>
      <w:r>
        <w:rPr>
          <w:rFonts w:hint="eastAsia" w:ascii="仿宋" w:hAnsi="仿宋" w:eastAsia="仿宋"/>
          <w:b/>
          <w:sz w:val="32"/>
          <w:szCs w:val="32"/>
        </w:rPr>
        <w:t>（三）</w:t>
      </w:r>
      <w:r>
        <w:rPr>
          <w:rFonts w:hint="eastAsia" w:ascii="仿宋_GB2312" w:eastAsia="仿宋_GB2312"/>
          <w:sz w:val="32"/>
          <w:szCs w:val="32"/>
        </w:rPr>
        <w:t>计划生育办公室：贯彻执行计划生育基本国策，控制人口增长，提供生殖健康服务。</w:t>
      </w:r>
    </w:p>
    <w:p>
      <w:pPr>
        <w:widowControl/>
        <w:spacing w:line="600" w:lineRule="exact"/>
        <w:ind w:firstLine="640" w:firstLineChars="200"/>
        <w:rPr>
          <w:rFonts w:ascii="仿宋" w:hAnsi="仿宋" w:eastAsia="仿宋"/>
          <w:sz w:val="32"/>
          <w:szCs w:val="32"/>
        </w:rPr>
      </w:pPr>
    </w:p>
    <w:p>
      <w:pPr>
        <w:pStyle w:val="19"/>
        <w:spacing w:line="580" w:lineRule="atLeast"/>
        <w:ind w:firstLine="538"/>
        <w:rPr>
          <w:rFonts w:ascii="仿宋_GB2312" w:eastAsia="仿宋_GB2312"/>
          <w:sz w:val="32"/>
          <w:szCs w:val="32"/>
        </w:rPr>
      </w:pPr>
      <w:r>
        <w:rPr>
          <w:rFonts w:hint="eastAsia" w:ascii="仿宋" w:hAnsi="仿宋" w:eastAsia="仿宋"/>
          <w:b/>
          <w:sz w:val="32"/>
          <w:szCs w:val="32"/>
        </w:rPr>
        <w:t>（四）</w:t>
      </w:r>
      <w:r>
        <w:rPr>
          <w:rFonts w:hint="eastAsia" w:ascii="仿宋" w:hAnsi="仿宋" w:eastAsia="仿宋"/>
          <w:bCs/>
          <w:sz w:val="32"/>
          <w:szCs w:val="32"/>
        </w:rPr>
        <w:t>文化站</w:t>
      </w:r>
      <w:r>
        <w:rPr>
          <w:rFonts w:hint="eastAsia" w:ascii="仿宋" w:hAnsi="仿宋" w:eastAsia="仿宋"/>
          <w:b/>
          <w:sz w:val="32"/>
          <w:szCs w:val="32"/>
        </w:rPr>
        <w:t>：</w:t>
      </w:r>
      <w:r>
        <w:rPr>
          <w:rFonts w:hint="eastAsia" w:ascii="仿宋_GB2312" w:eastAsia="仿宋_GB2312"/>
          <w:sz w:val="32"/>
          <w:szCs w:val="32"/>
        </w:rPr>
        <w:t>推进农村宣传文化事业发展，活跃农民精神文化生活，开展好农村精神文明建设工作。推进乡镇农村科技、文化、体育等各项社会事业的进步，全面促进各项社会事业健康有序发展。</w:t>
      </w:r>
    </w:p>
    <w:p>
      <w:pPr>
        <w:pStyle w:val="19"/>
        <w:spacing w:line="580" w:lineRule="atLeast"/>
        <w:ind w:firstLine="538"/>
        <w:rPr>
          <w:rFonts w:ascii="仿宋_GB2312" w:eastAsia="仿宋_GB2312"/>
          <w:sz w:val="32"/>
          <w:szCs w:val="32"/>
        </w:rPr>
      </w:pPr>
      <w:r>
        <w:rPr>
          <w:rFonts w:hint="eastAsia" w:ascii="仿宋" w:hAnsi="仿宋" w:eastAsia="仿宋"/>
          <w:b/>
          <w:sz w:val="32"/>
          <w:szCs w:val="32"/>
        </w:rPr>
        <w:t>（五）</w:t>
      </w:r>
      <w:r>
        <w:rPr>
          <w:rFonts w:hint="eastAsia" w:ascii="仿宋_GB2312" w:eastAsia="仿宋_GB2312"/>
          <w:sz w:val="32"/>
          <w:szCs w:val="32"/>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rPr>
          <w:rFonts w:ascii="仿宋" w:hAnsi="仿宋" w:eastAsia="仿宋"/>
          <w:b/>
          <w:sz w:val="32"/>
          <w:szCs w:val="32"/>
        </w:rPr>
      </w:pPr>
      <w:r>
        <w:rPr>
          <w:rFonts w:hint="eastAsia" w:ascii="仿宋" w:hAnsi="仿宋" w:eastAsia="仿宋"/>
          <w:b/>
          <w:sz w:val="32"/>
          <w:szCs w:val="32"/>
        </w:rPr>
        <w:br w:type="page"/>
      </w:r>
    </w:p>
    <w:p>
      <w:pPr>
        <w:rPr>
          <w:rFonts w:ascii="仿宋" w:hAnsi="仿宋" w:eastAsia="仿宋"/>
          <w:b/>
          <w:sz w:val="32"/>
          <w:szCs w:val="32"/>
        </w:rPr>
      </w:pPr>
      <w:r>
        <w:rPr>
          <w:rFonts w:hint="eastAsia" w:ascii="仿宋" w:hAnsi="仿宋" w:eastAsia="仿宋"/>
          <w:b/>
          <w:sz w:val="32"/>
          <w:szCs w:val="32"/>
        </w:rPr>
        <w:t>机构设置</w:t>
      </w:r>
    </w:p>
    <w:p>
      <w:pPr>
        <w:widowControl/>
        <w:jc w:val="center"/>
        <w:rPr>
          <w:rFonts w:ascii="仿宋" w:hAnsi="仿宋" w:eastAsia="仿宋" w:cs="宋体"/>
          <w:color w:val="111111"/>
          <w:kern w:val="0"/>
          <w:sz w:val="32"/>
          <w:szCs w:val="32"/>
        </w:rPr>
      </w:pPr>
      <w:r>
        <w:rPr>
          <w:rFonts w:hint="eastAsia" w:ascii="仿宋" w:hAnsi="仿宋" w:eastAsia="仿宋" w:cs="宋体"/>
          <w:color w:val="111111"/>
          <w:kern w:val="0"/>
          <w:sz w:val="32"/>
          <w:szCs w:val="32"/>
        </w:rPr>
        <w:t>部门机构设置情况</w:t>
      </w:r>
    </w:p>
    <w:tbl>
      <w:tblPr>
        <w:tblStyle w:val="7"/>
        <w:tblW w:w="106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747"/>
        <w:gridCol w:w="1404"/>
        <w:gridCol w:w="1579"/>
        <w:gridCol w:w="29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4747"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单位名称</w:t>
            </w:r>
          </w:p>
        </w:tc>
        <w:tc>
          <w:tcPr>
            <w:tcW w:w="1404"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单位性质</w:t>
            </w:r>
          </w:p>
        </w:tc>
        <w:tc>
          <w:tcPr>
            <w:tcW w:w="1579"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单位规格</w:t>
            </w:r>
          </w:p>
        </w:tc>
        <w:tc>
          <w:tcPr>
            <w:tcW w:w="2917"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4747" w:type="dxa"/>
            <w:vMerge w:val="continue"/>
            <w:shd w:val="clear" w:color="auto" w:fill="auto"/>
            <w:vAlign w:val="center"/>
          </w:tcPr>
          <w:p>
            <w:pPr>
              <w:spacing w:line="300" w:lineRule="exact"/>
              <w:jc w:val="left"/>
              <w:outlineLvl w:val="0"/>
              <w:rPr>
                <w:rFonts w:ascii="仿宋" w:hAnsi="仿宋" w:eastAsia="仿宋"/>
              </w:rPr>
            </w:pPr>
          </w:p>
        </w:tc>
        <w:tc>
          <w:tcPr>
            <w:tcW w:w="1404" w:type="dxa"/>
            <w:vMerge w:val="continue"/>
            <w:shd w:val="clear" w:color="auto" w:fill="auto"/>
            <w:vAlign w:val="center"/>
          </w:tcPr>
          <w:p>
            <w:pPr>
              <w:spacing w:line="300" w:lineRule="exact"/>
              <w:jc w:val="left"/>
              <w:outlineLvl w:val="0"/>
              <w:rPr>
                <w:rFonts w:ascii="仿宋" w:hAnsi="仿宋" w:eastAsia="仿宋"/>
              </w:rPr>
            </w:pPr>
          </w:p>
        </w:tc>
        <w:tc>
          <w:tcPr>
            <w:tcW w:w="1579" w:type="dxa"/>
            <w:vMerge w:val="continue"/>
            <w:shd w:val="clear" w:color="auto" w:fill="auto"/>
            <w:vAlign w:val="center"/>
          </w:tcPr>
          <w:p>
            <w:pPr>
              <w:spacing w:line="300" w:lineRule="exact"/>
              <w:jc w:val="left"/>
              <w:outlineLvl w:val="0"/>
              <w:rPr>
                <w:rFonts w:ascii="仿宋" w:hAnsi="仿宋" w:eastAsia="仿宋"/>
              </w:rPr>
            </w:pPr>
          </w:p>
        </w:tc>
        <w:tc>
          <w:tcPr>
            <w:tcW w:w="2917" w:type="dxa"/>
            <w:vMerge w:val="continue"/>
            <w:shd w:val="clear" w:color="auto" w:fill="auto"/>
            <w:vAlign w:val="center"/>
          </w:tcPr>
          <w:p>
            <w:pPr>
              <w:spacing w:line="300" w:lineRule="exact"/>
              <w:jc w:val="left"/>
              <w:outlineLvl w:val="0"/>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center"/>
              <w:rPr>
                <w:rFonts w:ascii="仿宋" w:hAnsi="仿宋" w:eastAsia="仿宋"/>
                <w:b/>
              </w:rPr>
            </w:pPr>
            <w:r>
              <w:rPr>
                <w:rFonts w:hint="eastAsia" w:ascii="仿宋" w:hAnsi="仿宋" w:eastAsia="仿宋"/>
                <w:b/>
              </w:rPr>
              <w:t>合计</w:t>
            </w:r>
          </w:p>
        </w:tc>
        <w:tc>
          <w:tcPr>
            <w:tcW w:w="1404" w:type="dxa"/>
            <w:shd w:val="clear" w:color="auto" w:fill="auto"/>
            <w:vAlign w:val="center"/>
          </w:tcPr>
          <w:p>
            <w:pPr>
              <w:spacing w:line="300" w:lineRule="exact"/>
              <w:jc w:val="center"/>
              <w:rPr>
                <w:rFonts w:ascii="仿宋" w:hAnsi="仿宋" w:eastAsia="仿宋"/>
                <w:b/>
              </w:rPr>
            </w:pPr>
          </w:p>
        </w:tc>
        <w:tc>
          <w:tcPr>
            <w:tcW w:w="1579" w:type="dxa"/>
            <w:shd w:val="clear" w:color="auto" w:fill="auto"/>
            <w:vAlign w:val="center"/>
          </w:tcPr>
          <w:p>
            <w:pPr>
              <w:spacing w:line="300" w:lineRule="exact"/>
              <w:jc w:val="center"/>
              <w:rPr>
                <w:rFonts w:ascii="仿宋" w:hAnsi="仿宋" w:eastAsia="仿宋"/>
                <w:b/>
              </w:rPr>
            </w:pPr>
          </w:p>
        </w:tc>
        <w:tc>
          <w:tcPr>
            <w:tcW w:w="2917" w:type="dxa"/>
            <w:shd w:val="clear" w:color="auto" w:fill="auto"/>
            <w:vAlign w:val="center"/>
          </w:tcPr>
          <w:p>
            <w:pPr>
              <w:spacing w:line="300" w:lineRule="exact"/>
              <w:jc w:val="center"/>
              <w:rPr>
                <w:rFonts w:ascii="仿宋" w:hAnsi="仿宋" w:eastAsia="仿宋"/>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涞源县金家井乡财政所</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行政</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正科级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金家井乡财政所</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行政</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正科级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金家井乡计生办</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事业</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正科级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金家井乡文化站</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事业</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正科级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金家井乡农业</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事业</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正科级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金家井乡人大</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行政</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副科级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金家井乡党派</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行政</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副科级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747" w:type="dxa"/>
            <w:shd w:val="clear" w:color="auto" w:fill="auto"/>
            <w:vAlign w:val="center"/>
          </w:tcPr>
          <w:p>
            <w:pPr>
              <w:spacing w:line="300" w:lineRule="exact"/>
              <w:jc w:val="left"/>
              <w:rPr>
                <w:rFonts w:ascii="仿宋" w:hAnsi="仿宋" w:eastAsia="仿宋"/>
              </w:rPr>
            </w:pPr>
            <w:r>
              <w:rPr>
                <w:rFonts w:hint="eastAsia" w:ascii="仿宋" w:hAnsi="仿宋" w:eastAsia="仿宋"/>
              </w:rPr>
              <w:t>金家井乡团体</w:t>
            </w:r>
          </w:p>
        </w:tc>
        <w:tc>
          <w:tcPr>
            <w:tcW w:w="1404" w:type="dxa"/>
            <w:shd w:val="clear" w:color="auto" w:fill="auto"/>
            <w:vAlign w:val="center"/>
          </w:tcPr>
          <w:p>
            <w:pPr>
              <w:spacing w:line="300" w:lineRule="exact"/>
              <w:jc w:val="center"/>
              <w:rPr>
                <w:rFonts w:ascii="仿宋" w:hAnsi="仿宋" w:eastAsia="仿宋"/>
              </w:rPr>
            </w:pPr>
            <w:r>
              <w:rPr>
                <w:rFonts w:hint="eastAsia" w:ascii="仿宋" w:hAnsi="仿宋" w:eastAsia="仿宋"/>
              </w:rPr>
              <w:t>行政</w:t>
            </w:r>
          </w:p>
        </w:tc>
        <w:tc>
          <w:tcPr>
            <w:tcW w:w="1579" w:type="dxa"/>
            <w:shd w:val="clear" w:color="auto" w:fill="auto"/>
            <w:vAlign w:val="center"/>
          </w:tcPr>
          <w:p>
            <w:pPr>
              <w:spacing w:line="300" w:lineRule="exact"/>
              <w:jc w:val="center"/>
              <w:rPr>
                <w:rFonts w:ascii="仿宋" w:hAnsi="仿宋" w:eastAsia="仿宋"/>
              </w:rPr>
            </w:pPr>
            <w:r>
              <w:rPr>
                <w:rFonts w:hint="eastAsia" w:ascii="仿宋" w:hAnsi="仿宋" w:eastAsia="仿宋"/>
              </w:rPr>
              <w:t>副科级</w:t>
            </w:r>
          </w:p>
        </w:tc>
        <w:tc>
          <w:tcPr>
            <w:tcW w:w="2917" w:type="dxa"/>
            <w:shd w:val="clear" w:color="auto" w:fill="auto"/>
            <w:vAlign w:val="center"/>
          </w:tcPr>
          <w:p>
            <w:pPr>
              <w:spacing w:line="300" w:lineRule="exact"/>
              <w:jc w:val="center"/>
              <w:rPr>
                <w:rFonts w:ascii="仿宋" w:hAnsi="仿宋" w:eastAsia="仿宋"/>
              </w:rPr>
            </w:pPr>
            <w:r>
              <w:rPr>
                <w:rFonts w:hint="eastAsia" w:ascii="仿宋" w:hAnsi="仿宋" w:eastAsia="仿宋"/>
              </w:rPr>
              <w:t>财政拨款</w:t>
            </w:r>
          </w:p>
        </w:tc>
      </w:tr>
    </w:tbl>
    <w:p>
      <w:pPr>
        <w:ind w:firstLine="643" w:firstLineChars="200"/>
        <w:rPr>
          <w:rFonts w:ascii="仿宋" w:hAnsi="仿宋" w:eastAsia="仿宋"/>
          <w:b/>
          <w:sz w:val="32"/>
          <w:szCs w:val="32"/>
        </w:rPr>
      </w:pPr>
    </w:p>
    <w:p>
      <w:pPr>
        <w:ind w:firstLine="640" w:firstLineChars="200"/>
        <w:rPr>
          <w:rFonts w:ascii="仿宋" w:hAnsi="仿宋" w:eastAsia="仿宋"/>
          <w:sz w:val="32"/>
        </w:rPr>
      </w:pPr>
    </w:p>
    <w:p>
      <w:pPr>
        <w:ind w:firstLine="450" w:firstLineChars="150"/>
        <w:rPr>
          <w:rFonts w:ascii="仿宋_GB2312" w:hAnsi="仿宋_GB2312" w:eastAsia="仿宋_GB2312" w:cs="仿宋_GB2312"/>
          <w:sz w:val="30"/>
          <w:szCs w:val="30"/>
        </w:rPr>
      </w:pPr>
    </w:p>
    <w:p>
      <w:pPr>
        <w:spacing w:line="600" w:lineRule="exact"/>
        <w:rPr>
          <w:rFonts w:ascii="黑体" w:hAnsi="黑体" w:eastAsia="黑体"/>
          <w:sz w:val="32"/>
          <w:szCs w:val="32"/>
        </w:rPr>
      </w:pPr>
      <w:r>
        <w:rPr>
          <w:rFonts w:hint="eastAsia" w:ascii="仿宋_GB2312" w:hAnsi="仿宋_GB2312" w:eastAsia="仿宋_GB2312" w:cs="仿宋_GB2312"/>
          <w:sz w:val="30"/>
          <w:szCs w:val="30"/>
        </w:rPr>
        <w:br w:type="page"/>
      </w:r>
      <w:r>
        <w:rPr>
          <w:rFonts w:hint="eastAsia" w:ascii="宋体" w:hAnsi="宋体"/>
          <w:b/>
          <w:bCs/>
          <w:sz w:val="32"/>
          <w:szCs w:val="32"/>
        </w:rPr>
        <w:t>二、部门预算安排的总体情况</w:t>
      </w:r>
    </w:p>
    <w:p>
      <w:pPr>
        <w:ind w:firstLine="643" w:firstLineChars="200"/>
        <w:rPr>
          <w:rFonts w:ascii="仿宋" w:hAnsi="仿宋" w:eastAsia="仿宋" w:cs="宋体"/>
          <w:b/>
          <w:bCs/>
          <w:color w:val="000000"/>
          <w:kern w:val="0"/>
          <w:sz w:val="32"/>
          <w:szCs w:val="32"/>
        </w:rPr>
      </w:pPr>
      <w:r>
        <w:rPr>
          <w:rFonts w:ascii="仿宋" w:hAnsi="仿宋" w:eastAsia="仿宋" w:cs="宋体"/>
          <w:b/>
          <w:bCs/>
          <w:color w:val="000000"/>
          <w:kern w:val="0"/>
          <w:sz w:val="32"/>
          <w:szCs w:val="32"/>
        </w:rPr>
        <w:t>1</w:t>
      </w:r>
      <w:r>
        <w:rPr>
          <w:rFonts w:hint="eastAsia" w:ascii="仿宋" w:hAnsi="仿宋" w:eastAsia="仿宋" w:cs="宋体"/>
          <w:b/>
          <w:bCs/>
          <w:color w:val="000000"/>
          <w:kern w:val="0"/>
          <w:sz w:val="32"/>
          <w:szCs w:val="32"/>
        </w:rPr>
        <w:t>、收入说明</w:t>
      </w:r>
    </w:p>
    <w:p>
      <w:pPr>
        <w:ind w:firstLine="640" w:firstLineChars="200"/>
        <w:rPr>
          <w:rFonts w:ascii="仿宋" w:hAnsi="仿宋" w:eastAsia="仿宋" w:cs="宋体"/>
          <w:bCs/>
          <w:color w:val="000000" w:themeColor="text1"/>
          <w:kern w:val="0"/>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t>反映</w:t>
      </w:r>
      <w:r>
        <w:rPr>
          <w:rFonts w:hint="eastAsia" w:ascii="仿宋" w:hAnsi="仿宋" w:eastAsia="仿宋"/>
          <w:color w:val="000000" w:themeColor="text1"/>
          <w:sz w:val="32"/>
          <w:szCs w:val="32"/>
          <w14:textFill>
            <w14:solidFill>
              <w14:schemeClr w14:val="tx1"/>
            </w14:solidFill>
          </w14:textFill>
        </w:rPr>
        <w:t>涞源县金家井乡人民政府</w:t>
      </w:r>
      <w:r>
        <w:rPr>
          <w:rFonts w:ascii="仿宋" w:hAnsi="仿宋" w:eastAsia="仿宋"/>
          <w:color w:val="000000" w:themeColor="text1"/>
          <w:sz w:val="32"/>
          <w:szCs w:val="32"/>
          <w14:textFill>
            <w14:solidFill>
              <w14:schemeClr w14:val="tx1"/>
            </w14:solidFill>
          </w14:textFill>
        </w:rPr>
        <w:t>当年全部收入。</w:t>
      </w:r>
      <w:r>
        <w:rPr>
          <w:rFonts w:hint="eastAsia" w:ascii="仿宋" w:hAnsi="仿宋" w:eastAsia="仿宋" w:cs="宋体"/>
          <w:bCs/>
          <w:color w:val="000000" w:themeColor="text1"/>
          <w:kern w:val="0"/>
          <w:sz w:val="32"/>
          <w:szCs w:val="32"/>
          <w14:textFill>
            <w14:solidFill>
              <w14:schemeClr w14:val="tx1"/>
            </w14:solidFill>
          </w14:textFill>
        </w:rPr>
        <w:t>2019年涞源县人</w:t>
      </w:r>
      <w:r>
        <w:rPr>
          <w:rFonts w:hint="eastAsia" w:ascii="仿宋" w:hAnsi="仿宋" w:eastAsia="仿宋" w:cs="宋体"/>
          <w:bCs/>
          <w:color w:val="000000" w:themeColor="text1"/>
          <w:kern w:val="0"/>
          <w:sz w:val="32"/>
          <w:szCs w:val="32"/>
          <w:lang w:eastAsia="zh-CN"/>
          <w14:textFill>
            <w14:solidFill>
              <w14:schemeClr w14:val="tx1"/>
            </w14:solidFill>
          </w14:textFill>
        </w:rPr>
        <w:t>民</w:t>
      </w:r>
      <w:r>
        <w:rPr>
          <w:rFonts w:hint="eastAsia" w:ascii="仿宋" w:hAnsi="仿宋" w:eastAsia="仿宋" w:cs="宋体"/>
          <w:bCs/>
          <w:color w:val="000000" w:themeColor="text1"/>
          <w:kern w:val="0"/>
          <w:sz w:val="32"/>
          <w:szCs w:val="32"/>
          <w14:textFill>
            <w14:solidFill>
              <w14:schemeClr w14:val="tx1"/>
            </w14:solidFill>
          </w14:textFill>
        </w:rPr>
        <w:t>代表大会常务委员会办公室年初部门收入预算总额为</w:t>
      </w:r>
      <w:r>
        <w:rPr>
          <w:rFonts w:hint="eastAsia" w:ascii="仿宋" w:hAnsi="仿宋" w:eastAsia="仿宋"/>
          <w:color w:val="000000" w:themeColor="text1"/>
          <w:sz w:val="32"/>
          <w:szCs w:val="32"/>
          <w14:textFill>
            <w14:solidFill>
              <w14:schemeClr w14:val="tx1"/>
            </w14:solidFill>
          </w14:textFill>
        </w:rPr>
        <w:t>1357.44</w:t>
      </w:r>
      <w:r>
        <w:rPr>
          <w:rFonts w:hint="eastAsia" w:ascii="仿宋" w:hAnsi="仿宋" w:eastAsia="仿宋" w:cs="宋体"/>
          <w:bCs/>
          <w:color w:val="000000" w:themeColor="text1"/>
          <w:kern w:val="0"/>
          <w:sz w:val="32"/>
          <w:szCs w:val="32"/>
          <w14:textFill>
            <w14:solidFill>
              <w14:schemeClr w14:val="tx1"/>
            </w14:solidFill>
          </w14:textFill>
        </w:rPr>
        <w:t>万元。其中：</w:t>
      </w:r>
      <w:r>
        <w:rPr>
          <w:rFonts w:hint="eastAsia" w:ascii="仿宋" w:hAnsi="仿宋" w:eastAsia="仿宋"/>
          <w:color w:val="000000" w:themeColor="text1"/>
          <w:sz w:val="32"/>
          <w:szCs w:val="32"/>
          <w14:textFill>
            <w14:solidFill>
              <w14:schemeClr w14:val="tx1"/>
            </w14:solidFill>
          </w14:textFill>
        </w:rPr>
        <w:t>一般公共预算收入1357.44</w:t>
      </w:r>
      <w:r>
        <w:rPr>
          <w:rFonts w:hint="eastAsia" w:ascii="仿宋" w:hAnsi="仿宋" w:eastAsia="仿宋" w:cs="宋体"/>
          <w:bCs/>
          <w:color w:val="000000" w:themeColor="text1"/>
          <w:kern w:val="0"/>
          <w:sz w:val="32"/>
          <w:szCs w:val="32"/>
          <w14:textFill>
            <w14:solidFill>
              <w14:schemeClr w14:val="tx1"/>
            </w14:solidFill>
          </w14:textFill>
        </w:rPr>
        <w:t>万元</w:t>
      </w:r>
    </w:p>
    <w:p>
      <w:pPr>
        <w:ind w:left="560"/>
        <w:rPr>
          <w:rFonts w:ascii="仿宋" w:hAnsi="仿宋" w:eastAsia="仿宋" w:cs="宋体"/>
          <w:b/>
          <w:bCs/>
          <w:color w:val="000000" w:themeColor="text1"/>
          <w:kern w:val="0"/>
          <w:sz w:val="32"/>
          <w:szCs w:val="32"/>
          <w14:textFill>
            <w14:solidFill>
              <w14:schemeClr w14:val="tx1"/>
            </w14:solidFill>
          </w14:textFill>
        </w:rPr>
      </w:pPr>
      <w:r>
        <w:rPr>
          <w:rFonts w:hint="eastAsia" w:ascii="仿宋" w:hAnsi="仿宋" w:eastAsia="仿宋" w:cs="宋体"/>
          <w:b/>
          <w:bCs/>
          <w:color w:val="000000" w:themeColor="text1"/>
          <w:kern w:val="0"/>
          <w:sz w:val="32"/>
          <w:szCs w:val="32"/>
          <w14:textFill>
            <w14:solidFill>
              <w14:schemeClr w14:val="tx1"/>
            </w14:solidFill>
          </w14:textFill>
        </w:rPr>
        <w:t>2、</w:t>
      </w:r>
      <w:r>
        <w:rPr>
          <w:rFonts w:hint="eastAsia" w:ascii="仿宋" w:hAnsi="仿宋" w:eastAsia="仿宋"/>
          <w:b/>
          <w:color w:val="000000" w:themeColor="text1"/>
          <w:sz w:val="32"/>
          <w:szCs w:val="32"/>
          <w14:textFill>
            <w14:solidFill>
              <w14:schemeClr w14:val="tx1"/>
            </w14:solidFill>
          </w14:textFill>
        </w:rPr>
        <w:t>支出说明</w:t>
      </w:r>
    </w:p>
    <w:p>
      <w:pPr>
        <w:ind w:left="105" w:leftChars="50" w:firstLine="640" w:firstLineChars="200"/>
        <w:rPr>
          <w:rFonts w:ascii="仿宋" w:hAnsi="仿宋" w:eastAsia="仿宋" w:cs="宋体"/>
          <w:bCs/>
          <w:color w:val="000000" w:themeColor="text1"/>
          <w:kern w:val="0"/>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t>收支预算总表支出栏、基本支出表、项目支出表按经济分类和支出功能分类科目编制，反映</w:t>
      </w:r>
      <w:r>
        <w:rPr>
          <w:rFonts w:hint="eastAsia" w:ascii="仿宋" w:hAnsi="仿宋" w:eastAsia="仿宋"/>
          <w:color w:val="000000" w:themeColor="text1"/>
          <w:sz w:val="32"/>
          <w:szCs w:val="32"/>
          <w14:textFill>
            <w14:solidFill>
              <w14:schemeClr w14:val="tx1"/>
            </w14:solidFill>
          </w14:textFill>
        </w:rPr>
        <w:t>涞源县 金家井乡人民政府</w:t>
      </w:r>
      <w:r>
        <w:rPr>
          <w:rFonts w:ascii="仿宋" w:hAnsi="仿宋" w:eastAsia="仿宋"/>
          <w:color w:val="000000" w:themeColor="text1"/>
          <w:sz w:val="32"/>
          <w:szCs w:val="32"/>
          <w14:textFill>
            <w14:solidFill>
              <w14:schemeClr w14:val="tx1"/>
            </w14:solidFill>
          </w14:textFill>
        </w:rPr>
        <w:t>年度部门预算中支出预算的总体情况。</w:t>
      </w:r>
      <w:r>
        <w:rPr>
          <w:rFonts w:hint="eastAsia" w:ascii="仿宋" w:hAnsi="仿宋" w:eastAsia="仿宋" w:cs="宋体"/>
          <w:bCs/>
          <w:color w:val="000000" w:themeColor="text1"/>
          <w:kern w:val="0"/>
          <w:sz w:val="32"/>
          <w:szCs w:val="32"/>
          <w14:textFill>
            <w14:solidFill>
              <w14:schemeClr w14:val="tx1"/>
            </w14:solidFill>
          </w14:textFill>
        </w:rPr>
        <w:t>2019年部门支出安排预算总额</w:t>
      </w:r>
      <w:r>
        <w:rPr>
          <w:rFonts w:hint="eastAsia" w:ascii="仿宋" w:hAnsi="仿宋" w:eastAsia="仿宋"/>
          <w:color w:val="000000" w:themeColor="text1"/>
          <w:sz w:val="32"/>
          <w:szCs w:val="32"/>
          <w14:textFill>
            <w14:solidFill>
              <w14:schemeClr w14:val="tx1"/>
            </w14:solidFill>
          </w14:textFill>
        </w:rPr>
        <w:t>1357.44</w:t>
      </w:r>
      <w:r>
        <w:rPr>
          <w:rFonts w:hint="eastAsia" w:ascii="仿宋" w:hAnsi="仿宋" w:eastAsia="仿宋" w:cs="宋体"/>
          <w:bCs/>
          <w:color w:val="000000" w:themeColor="text1"/>
          <w:kern w:val="0"/>
          <w:sz w:val="32"/>
          <w:szCs w:val="32"/>
          <w14:textFill>
            <w14:solidFill>
              <w14:schemeClr w14:val="tx1"/>
            </w14:solidFill>
          </w14:textFill>
        </w:rPr>
        <w:t xml:space="preserve">万元。其中基本支出 </w:t>
      </w:r>
      <w:r>
        <w:rPr>
          <w:rFonts w:hint="eastAsia" w:ascii="仿宋" w:hAnsi="仿宋" w:eastAsia="仿宋"/>
          <w:color w:val="000000" w:themeColor="text1"/>
          <w:sz w:val="32"/>
          <w:szCs w:val="32"/>
          <w14:textFill>
            <w14:solidFill>
              <w14:schemeClr w14:val="tx1"/>
            </w14:solidFill>
          </w14:textFill>
        </w:rPr>
        <w:t>414.56</w:t>
      </w:r>
      <w:r>
        <w:rPr>
          <w:rFonts w:hint="eastAsia" w:ascii="仿宋" w:hAnsi="仿宋" w:eastAsia="仿宋" w:cs="宋体"/>
          <w:bCs/>
          <w:color w:val="000000" w:themeColor="text1"/>
          <w:kern w:val="0"/>
          <w:sz w:val="32"/>
          <w:szCs w:val="32"/>
          <w14:textFill>
            <w14:solidFill>
              <w14:schemeClr w14:val="tx1"/>
            </w14:solidFill>
          </w14:textFill>
        </w:rPr>
        <w:t>万元，包括人员经费</w:t>
      </w:r>
      <w:r>
        <w:rPr>
          <w:rFonts w:hint="eastAsia" w:ascii="仿宋" w:hAnsi="仿宋" w:eastAsia="仿宋"/>
          <w:color w:val="000000" w:themeColor="text1"/>
          <w:sz w:val="32"/>
          <w:szCs w:val="32"/>
          <w14:textFill>
            <w14:solidFill>
              <w14:schemeClr w14:val="tx1"/>
            </w14:solidFill>
          </w14:textFill>
        </w:rPr>
        <w:t>374.96</w:t>
      </w:r>
      <w:r>
        <w:rPr>
          <w:rFonts w:hint="eastAsia" w:ascii="仿宋" w:hAnsi="仿宋" w:eastAsia="仿宋" w:cs="宋体"/>
          <w:bCs/>
          <w:color w:val="000000" w:themeColor="text1"/>
          <w:kern w:val="0"/>
          <w:sz w:val="32"/>
          <w:szCs w:val="32"/>
          <w14:textFill>
            <w14:solidFill>
              <w14:schemeClr w14:val="tx1"/>
            </w14:solidFill>
          </w14:textFill>
        </w:rPr>
        <w:t>万元和日常公用经费</w:t>
      </w:r>
      <w:r>
        <w:rPr>
          <w:rFonts w:hint="eastAsia" w:ascii="仿宋" w:hAnsi="仿宋" w:eastAsia="仿宋"/>
          <w:color w:val="000000" w:themeColor="text1"/>
          <w:sz w:val="32"/>
          <w:szCs w:val="32"/>
          <w14:textFill>
            <w14:solidFill>
              <w14:schemeClr w14:val="tx1"/>
            </w14:solidFill>
          </w14:textFill>
        </w:rPr>
        <w:t>39.6</w:t>
      </w:r>
      <w:r>
        <w:rPr>
          <w:rFonts w:hint="eastAsia" w:ascii="仿宋" w:hAnsi="仿宋" w:eastAsia="仿宋" w:cs="宋体"/>
          <w:bCs/>
          <w:color w:val="000000" w:themeColor="text1"/>
          <w:kern w:val="0"/>
          <w:sz w:val="32"/>
          <w:szCs w:val="32"/>
          <w14:textFill>
            <w14:solidFill>
              <w14:schemeClr w14:val="tx1"/>
            </w14:solidFill>
          </w14:textFill>
        </w:rPr>
        <w:t>万元；项目支出</w:t>
      </w:r>
      <w:r>
        <w:rPr>
          <w:rFonts w:hint="eastAsia" w:ascii="仿宋" w:hAnsi="仿宋" w:eastAsia="仿宋"/>
          <w:color w:val="000000" w:themeColor="text1"/>
          <w:sz w:val="32"/>
          <w:szCs w:val="32"/>
          <w14:textFill>
            <w14:solidFill>
              <w14:schemeClr w14:val="tx1"/>
            </w14:solidFill>
          </w14:textFill>
        </w:rPr>
        <w:t>942.88</w:t>
      </w:r>
      <w:r>
        <w:rPr>
          <w:rFonts w:hint="eastAsia" w:ascii="仿宋" w:hAnsi="仿宋" w:eastAsia="仿宋" w:cs="宋体"/>
          <w:bCs/>
          <w:color w:val="000000" w:themeColor="text1"/>
          <w:kern w:val="0"/>
          <w:sz w:val="32"/>
          <w:szCs w:val="32"/>
          <w14:textFill>
            <w14:solidFill>
              <w14:schemeClr w14:val="tx1"/>
            </w14:solidFill>
          </w14:textFill>
        </w:rPr>
        <w:t>万元，包括本级支出</w:t>
      </w:r>
      <w:r>
        <w:rPr>
          <w:rFonts w:hint="eastAsia" w:ascii="仿宋" w:hAnsi="仿宋" w:eastAsia="仿宋"/>
          <w:color w:val="000000" w:themeColor="text1"/>
          <w:sz w:val="32"/>
          <w:szCs w:val="32"/>
          <w14:textFill>
            <w14:solidFill>
              <w14:schemeClr w14:val="tx1"/>
            </w14:solidFill>
          </w14:textFill>
        </w:rPr>
        <w:t>942.88</w:t>
      </w:r>
      <w:r>
        <w:rPr>
          <w:rFonts w:hint="eastAsia" w:ascii="仿宋" w:hAnsi="仿宋" w:eastAsia="仿宋" w:cs="宋体"/>
          <w:bCs/>
          <w:color w:val="000000" w:themeColor="text1"/>
          <w:kern w:val="0"/>
          <w:sz w:val="32"/>
          <w:szCs w:val="32"/>
          <w14:textFill>
            <w14:solidFill>
              <w14:schemeClr w14:val="tx1"/>
            </w14:solidFill>
          </w14:textFill>
        </w:rPr>
        <w:t>万元。</w:t>
      </w:r>
    </w:p>
    <w:p>
      <w:pPr>
        <w:ind w:left="105" w:leftChars="50" w:firstLine="643" w:firstLineChars="200"/>
        <w:rPr>
          <w:rFonts w:ascii="仿宋" w:hAnsi="仿宋" w:eastAsia="仿宋" w:cs="宋体"/>
          <w:b/>
          <w:bCs/>
          <w:color w:val="000000" w:themeColor="text1"/>
          <w:kern w:val="0"/>
          <w:sz w:val="32"/>
          <w:szCs w:val="32"/>
          <w14:textFill>
            <w14:solidFill>
              <w14:schemeClr w14:val="tx1"/>
            </w14:solidFill>
          </w14:textFill>
        </w:rPr>
      </w:pPr>
      <w:r>
        <w:rPr>
          <w:rFonts w:hint="eastAsia" w:ascii="仿宋" w:hAnsi="仿宋" w:eastAsia="仿宋" w:cs="宋体"/>
          <w:b/>
          <w:bCs/>
          <w:color w:val="000000" w:themeColor="text1"/>
          <w:kern w:val="0"/>
          <w:sz w:val="32"/>
          <w:szCs w:val="32"/>
          <w14:textFill>
            <w14:solidFill>
              <w14:schemeClr w14:val="tx1"/>
            </w14:solidFill>
          </w14:textFill>
        </w:rPr>
        <w:t>3、与上年增减情况</w:t>
      </w:r>
    </w:p>
    <w:p>
      <w:pPr>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 xml:space="preserve">    本年度预算收支安排</w:t>
      </w:r>
      <w:r>
        <w:rPr>
          <w:rFonts w:hint="eastAsia" w:ascii="仿宋" w:hAnsi="仿宋" w:eastAsia="仿宋"/>
          <w:sz w:val="32"/>
          <w:szCs w:val="32"/>
        </w:rPr>
        <w:t>1357.44</w:t>
      </w:r>
      <w:r>
        <w:rPr>
          <w:rFonts w:hint="eastAsia" w:ascii="仿宋" w:hAnsi="仿宋" w:eastAsia="仿宋" w:cs="宋体"/>
          <w:bCs/>
          <w:color w:val="000000"/>
          <w:kern w:val="0"/>
          <w:sz w:val="32"/>
          <w:szCs w:val="32"/>
        </w:rPr>
        <w:t>万元,较上年</w:t>
      </w:r>
      <w:r>
        <w:rPr>
          <w:rFonts w:hint="eastAsia" w:ascii="仿宋" w:hAnsi="仿宋" w:eastAsia="仿宋"/>
          <w:sz w:val="32"/>
          <w:szCs w:val="32"/>
        </w:rPr>
        <w:t>增加869.99</w:t>
      </w:r>
      <w:r>
        <w:rPr>
          <w:rFonts w:hint="eastAsia" w:ascii="仿宋" w:hAnsi="仿宋" w:eastAsia="仿宋" w:cs="宋体"/>
          <w:bCs/>
          <w:color w:val="000000"/>
          <w:kern w:val="0"/>
          <w:sz w:val="32"/>
          <w:szCs w:val="32"/>
        </w:rPr>
        <w:t>万元。其中：</w:t>
      </w:r>
      <w:r>
        <w:rPr>
          <w:rFonts w:hint="eastAsia" w:ascii="仿宋" w:hAnsi="仿宋" w:eastAsia="仿宋"/>
          <w:sz w:val="32"/>
          <w:szCs w:val="32"/>
        </w:rPr>
        <w:t>基本支出增加23.28万元，主要是单位有新调入人员，新增人员工资社保；项目支出增加893.27万元，主要是征地项目增加征地款增加。</w:t>
      </w:r>
      <w:r>
        <w:rPr>
          <w:rFonts w:hint="eastAsia" w:ascii="仿宋" w:hAnsi="仿宋" w:eastAsia="仿宋" w:cs="宋体"/>
          <w:bCs/>
          <w:color w:val="000000"/>
          <w:kern w:val="0"/>
          <w:sz w:val="32"/>
          <w:szCs w:val="32"/>
        </w:rPr>
        <w:t>本年度我单位合理安排项目支出</w:t>
      </w:r>
      <w:r>
        <w:rPr>
          <w:rFonts w:hint="eastAsia" w:ascii="仿宋" w:hAnsi="仿宋" w:eastAsia="仿宋"/>
          <w:sz w:val="32"/>
          <w:szCs w:val="32"/>
        </w:rPr>
        <w:t>。</w:t>
      </w:r>
    </w:p>
    <w:p>
      <w:pPr>
        <w:ind w:firstLine="450" w:firstLineChars="150"/>
        <w:rPr>
          <w:rFonts w:ascii="仿宋_GB2312" w:hAnsi="仿宋_GB2312" w:eastAsia="仿宋_GB2312" w:cs="仿宋_GB2312"/>
          <w:sz w:val="30"/>
          <w:szCs w:val="30"/>
        </w:rPr>
      </w:pPr>
    </w:p>
    <w:p>
      <w:pPr>
        <w:spacing w:line="600" w:lineRule="exact"/>
        <w:jc w:val="left"/>
        <w:outlineLvl w:val="0"/>
        <w:rPr>
          <w:rFonts w:ascii="宋体" w:hAnsi="宋体"/>
          <w:b/>
          <w:sz w:val="32"/>
          <w:szCs w:val="32"/>
        </w:rPr>
      </w:pPr>
      <w:r>
        <w:rPr>
          <w:rFonts w:hint="eastAsia" w:ascii="宋体" w:hAnsi="宋体"/>
          <w:b/>
          <w:sz w:val="32"/>
          <w:szCs w:val="32"/>
        </w:rPr>
        <w:t>三、机关运行经费安排情况</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涞源县金家井乡人民政府机关运行经费安排39.6万元，其中办公费8.5万元，电费1.9万元，办公取暖费8万元，邮电费1.6万元，差旅费1万元，印刷费4.6万元，公务用车运行维护费7万元，公务接待费7万元。</w:t>
      </w:r>
    </w:p>
    <w:p>
      <w:pPr>
        <w:rPr>
          <w:rFonts w:ascii="仿宋" w:hAnsi="仿宋" w:eastAsia="仿宋"/>
          <w:sz w:val="32"/>
          <w:szCs w:val="32"/>
        </w:rPr>
      </w:pPr>
      <w:r>
        <w:rPr>
          <w:rFonts w:hint="eastAsia" w:ascii="仿宋" w:hAnsi="仿宋" w:eastAsia="仿宋"/>
          <w:sz w:val="32"/>
          <w:szCs w:val="32"/>
        </w:rPr>
        <w:br w:type="page"/>
      </w:r>
    </w:p>
    <w:p>
      <w:pPr>
        <w:spacing w:line="520" w:lineRule="exact"/>
        <w:ind w:firstLine="640" w:firstLineChars="200"/>
        <w:jc w:val="left"/>
        <w:outlineLvl w:val="0"/>
        <w:rPr>
          <w:rFonts w:ascii="仿宋" w:hAnsi="仿宋" w:eastAsia="仿宋"/>
          <w:sz w:val="32"/>
          <w:szCs w:val="32"/>
        </w:rPr>
      </w:pPr>
    </w:p>
    <w:p>
      <w:pPr>
        <w:spacing w:line="600" w:lineRule="exact"/>
        <w:jc w:val="left"/>
        <w:outlineLvl w:val="0"/>
        <w:rPr>
          <w:rFonts w:ascii="仿宋" w:hAnsi="仿宋" w:eastAsia="仿宋"/>
          <w:b/>
          <w:sz w:val="32"/>
          <w:szCs w:val="32"/>
        </w:rPr>
      </w:pPr>
      <w:r>
        <w:rPr>
          <w:rFonts w:hint="eastAsia" w:ascii="仿宋" w:hAnsi="仿宋" w:eastAsia="仿宋"/>
          <w:b/>
          <w:sz w:val="32"/>
          <w:szCs w:val="32"/>
        </w:rPr>
        <w:t>四、财政拨款“三公”经费预算情况</w:t>
      </w:r>
    </w:p>
    <w:tbl>
      <w:tblPr>
        <w:tblStyle w:val="7"/>
        <w:tblW w:w="10649" w:type="dxa"/>
        <w:tblInd w:w="0" w:type="dxa"/>
        <w:tblLayout w:type="fixed"/>
        <w:tblCellMar>
          <w:top w:w="0" w:type="dxa"/>
          <w:left w:w="108" w:type="dxa"/>
          <w:bottom w:w="0" w:type="dxa"/>
          <w:right w:w="108" w:type="dxa"/>
        </w:tblCellMar>
      </w:tblPr>
      <w:tblGrid>
        <w:gridCol w:w="2308"/>
        <w:gridCol w:w="1854"/>
        <w:gridCol w:w="1854"/>
        <w:gridCol w:w="1270"/>
        <w:gridCol w:w="3363"/>
      </w:tblGrid>
      <w:tr>
        <w:tblPrEx>
          <w:tblCellMar>
            <w:top w:w="0" w:type="dxa"/>
            <w:left w:w="108" w:type="dxa"/>
            <w:bottom w:w="0" w:type="dxa"/>
            <w:right w:w="108" w:type="dxa"/>
          </w:tblCellMar>
        </w:tblPrEx>
        <w:trPr>
          <w:trHeight w:val="285" w:hRule="atLeast"/>
        </w:trPr>
        <w:tc>
          <w:tcPr>
            <w:tcW w:w="2308" w:type="dxa"/>
            <w:tcBorders>
              <w:top w:val="nil"/>
              <w:left w:val="nil"/>
              <w:bottom w:val="nil"/>
              <w:right w:val="nil"/>
            </w:tcBorders>
            <w:vAlign w:val="center"/>
          </w:tcPr>
          <w:p>
            <w:pPr>
              <w:widowControl/>
              <w:jc w:val="left"/>
              <w:rPr>
                <w:rFonts w:ascii="仿宋" w:hAnsi="仿宋" w:eastAsia="仿宋" w:cs="宋体"/>
                <w:kern w:val="0"/>
                <w:sz w:val="24"/>
              </w:rPr>
            </w:pPr>
          </w:p>
        </w:tc>
        <w:tc>
          <w:tcPr>
            <w:tcW w:w="1854" w:type="dxa"/>
            <w:tcBorders>
              <w:top w:val="nil"/>
              <w:left w:val="nil"/>
              <w:bottom w:val="nil"/>
              <w:right w:val="nil"/>
            </w:tcBorders>
            <w:vAlign w:val="center"/>
          </w:tcPr>
          <w:p>
            <w:pPr>
              <w:widowControl/>
              <w:jc w:val="left"/>
              <w:rPr>
                <w:rFonts w:ascii="仿宋" w:hAnsi="仿宋" w:eastAsia="仿宋" w:cs="宋体"/>
                <w:kern w:val="0"/>
                <w:sz w:val="24"/>
              </w:rPr>
            </w:pPr>
          </w:p>
        </w:tc>
        <w:tc>
          <w:tcPr>
            <w:tcW w:w="1854" w:type="dxa"/>
            <w:tcBorders>
              <w:top w:val="nil"/>
              <w:left w:val="nil"/>
              <w:bottom w:val="nil"/>
              <w:right w:val="nil"/>
            </w:tcBorders>
            <w:vAlign w:val="center"/>
          </w:tcPr>
          <w:p>
            <w:pPr>
              <w:widowControl/>
              <w:jc w:val="left"/>
              <w:rPr>
                <w:rFonts w:ascii="仿宋" w:hAnsi="仿宋" w:eastAsia="仿宋" w:cs="宋体"/>
                <w:kern w:val="0"/>
                <w:sz w:val="24"/>
              </w:rPr>
            </w:pPr>
          </w:p>
        </w:tc>
        <w:tc>
          <w:tcPr>
            <w:tcW w:w="1270" w:type="dxa"/>
            <w:tcBorders>
              <w:top w:val="nil"/>
              <w:left w:val="nil"/>
              <w:bottom w:val="nil"/>
              <w:right w:val="nil"/>
            </w:tcBorders>
            <w:vAlign w:val="center"/>
          </w:tcPr>
          <w:p>
            <w:pPr>
              <w:widowControl/>
              <w:jc w:val="left"/>
              <w:rPr>
                <w:rFonts w:ascii="仿宋" w:hAnsi="仿宋" w:eastAsia="仿宋" w:cs="宋体"/>
                <w:kern w:val="0"/>
                <w:sz w:val="24"/>
              </w:rPr>
            </w:pPr>
          </w:p>
        </w:tc>
        <w:tc>
          <w:tcPr>
            <w:tcW w:w="3363" w:type="dxa"/>
            <w:tcBorders>
              <w:top w:val="nil"/>
              <w:left w:val="nil"/>
              <w:bottom w:val="nil"/>
              <w:right w:val="nil"/>
            </w:tcBorders>
            <w:vAlign w:val="center"/>
          </w:tcPr>
          <w:p>
            <w:pPr>
              <w:widowControl/>
              <w:jc w:val="right"/>
              <w:rPr>
                <w:rFonts w:ascii="仿宋" w:hAnsi="仿宋" w:eastAsia="仿宋" w:cs="宋体"/>
                <w:kern w:val="0"/>
                <w:sz w:val="24"/>
              </w:rPr>
            </w:pPr>
            <w:r>
              <w:rPr>
                <w:rFonts w:hint="eastAsia" w:ascii="仿宋" w:hAnsi="仿宋" w:eastAsia="仿宋" w:cs="宋体"/>
                <w:kern w:val="0"/>
                <w:sz w:val="24"/>
              </w:rPr>
              <w:t>单位：万元</w:t>
            </w:r>
          </w:p>
        </w:tc>
      </w:tr>
      <w:tr>
        <w:tblPrEx>
          <w:tblCellMar>
            <w:top w:w="0" w:type="dxa"/>
            <w:left w:w="108" w:type="dxa"/>
            <w:bottom w:w="0" w:type="dxa"/>
            <w:right w:w="108" w:type="dxa"/>
          </w:tblCellMar>
        </w:tblPrEx>
        <w:trPr>
          <w:trHeight w:val="285" w:hRule="atLeast"/>
        </w:trPr>
        <w:tc>
          <w:tcPr>
            <w:tcW w:w="230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项目名称</w:t>
            </w:r>
          </w:p>
        </w:tc>
        <w:tc>
          <w:tcPr>
            <w:tcW w:w="1854"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2018年度预算</w:t>
            </w:r>
          </w:p>
        </w:tc>
        <w:tc>
          <w:tcPr>
            <w:tcW w:w="1854"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2019年度预算</w:t>
            </w:r>
          </w:p>
        </w:tc>
        <w:tc>
          <w:tcPr>
            <w:tcW w:w="1270"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增减金额</w:t>
            </w:r>
          </w:p>
        </w:tc>
        <w:tc>
          <w:tcPr>
            <w:tcW w:w="3363"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变化原因</w:t>
            </w:r>
          </w:p>
        </w:tc>
      </w:tr>
      <w:tr>
        <w:tblPrEx>
          <w:tblCellMar>
            <w:top w:w="0" w:type="dxa"/>
            <w:left w:w="108" w:type="dxa"/>
            <w:bottom w:w="0" w:type="dxa"/>
            <w:right w:w="108" w:type="dxa"/>
          </w:tblCellMar>
        </w:tblPrEx>
        <w:trPr>
          <w:trHeight w:val="285" w:hRule="atLeast"/>
        </w:trPr>
        <w:tc>
          <w:tcPr>
            <w:tcW w:w="2308"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因公出国经费</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270"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3363"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285" w:hRule="atLeast"/>
        </w:trPr>
        <w:tc>
          <w:tcPr>
            <w:tcW w:w="2308"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公务用车购置经费</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270"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3363"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570" w:hRule="atLeast"/>
        </w:trPr>
        <w:tc>
          <w:tcPr>
            <w:tcW w:w="2308"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公务用车运行经费</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1270"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3363"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855" w:hRule="atLeast"/>
        </w:trPr>
        <w:tc>
          <w:tcPr>
            <w:tcW w:w="2308"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公务接待费支出</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1270"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3363"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1140" w:hRule="atLeast"/>
        </w:trPr>
        <w:tc>
          <w:tcPr>
            <w:tcW w:w="2308"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合计</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14</w:t>
            </w:r>
          </w:p>
        </w:tc>
        <w:tc>
          <w:tcPr>
            <w:tcW w:w="1854"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14</w:t>
            </w:r>
          </w:p>
        </w:tc>
        <w:tc>
          <w:tcPr>
            <w:tcW w:w="1270"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3363"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bl>
    <w:p>
      <w:pPr>
        <w:ind w:left="105" w:leftChars="50" w:firstLine="643" w:firstLineChars="200"/>
        <w:jc w:val="center"/>
        <w:rPr>
          <w:rFonts w:ascii="仿宋" w:hAnsi="仿宋" w:eastAsia="仿宋" w:cs="宋体"/>
          <w:b/>
          <w:bCs/>
          <w:color w:val="000000"/>
          <w:kern w:val="0"/>
          <w:sz w:val="32"/>
          <w:szCs w:val="32"/>
        </w:rPr>
      </w:pPr>
    </w:p>
    <w:p>
      <w:pPr>
        <w:widowControl/>
        <w:numPr>
          <w:ilvl w:val="0"/>
          <w:numId w:val="1"/>
        </w:numPr>
        <w:tabs>
          <w:tab w:val="center" w:pos="5139"/>
        </w:tabs>
        <w:spacing w:line="600" w:lineRule="exact"/>
        <w:jc w:val="left"/>
        <w:rPr>
          <w:rFonts w:ascii="仿宋" w:hAnsi="仿宋" w:eastAsia="仿宋" w:cs="宋体"/>
          <w:b/>
          <w:color w:val="111111"/>
          <w:kern w:val="0"/>
          <w:sz w:val="32"/>
          <w:szCs w:val="32"/>
        </w:rPr>
      </w:pPr>
      <w:r>
        <w:rPr>
          <w:rFonts w:hint="eastAsia" w:ascii="仿宋" w:hAnsi="仿宋" w:eastAsia="仿宋" w:cs="宋体"/>
          <w:b/>
          <w:color w:val="111111"/>
          <w:kern w:val="0"/>
          <w:sz w:val="32"/>
          <w:szCs w:val="32"/>
        </w:rPr>
        <w:t>预算绩效信息</w:t>
      </w:r>
    </w:p>
    <w:p>
      <w:pPr>
        <w:ind w:firstLine="643" w:firstLineChars="200"/>
        <w:rPr>
          <w:rFonts w:ascii="仿宋" w:hAnsi="仿宋" w:eastAsia="仿宋"/>
          <w:sz w:val="32"/>
          <w:szCs w:val="32"/>
        </w:rPr>
      </w:pPr>
      <w:r>
        <w:rPr>
          <w:rFonts w:hint="eastAsia" w:ascii="仿宋" w:hAnsi="仿宋" w:eastAsia="仿宋"/>
          <w:b/>
          <w:sz w:val="32"/>
          <w:szCs w:val="32"/>
        </w:rPr>
        <w:t xml:space="preserve"> (一)总体绩效目标</w:t>
      </w:r>
      <w:r>
        <w:rPr>
          <w:rFonts w:hint="eastAsia" w:ascii="仿宋" w:hAnsi="仿宋" w:eastAsia="仿宋"/>
          <w:sz w:val="32"/>
          <w:szCs w:val="32"/>
        </w:rPr>
        <w:t>一、总体绩效目标</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今年，在县委、县政府的正确领导下，我乡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ind w:firstLine="643" w:firstLineChars="200"/>
        <w:rPr>
          <w:rFonts w:ascii="仿宋" w:hAnsi="仿宋" w:eastAsia="仿宋"/>
          <w:sz w:val="32"/>
          <w:szCs w:val="32"/>
        </w:rPr>
      </w:pPr>
      <w:r>
        <w:rPr>
          <w:rFonts w:hint="eastAsia" w:ascii="仿宋" w:hAnsi="仿宋" w:eastAsia="仿宋"/>
          <w:b/>
          <w:sz w:val="32"/>
          <w:szCs w:val="32"/>
        </w:rPr>
        <w:t>(二)分类绩效目标</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1、抓党建夯基础，提供组织保障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2、抓扶贫强产业，推进结构调整</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按照“优势区位、整村推进、连片发展”的扶贫工作思路，抢抓机遇，进行精准扶贫指导3个扶贫村结合一事一议、以工代赈、基层组织建设年等帮扶政策进行科学规划，推进重点村的扶贫项目落地实施，对所申报项目严格论证，大力发展建成特色产业带。</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3、抓民生促和谐，共享发展成果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以抓民生为重点，加大工作力度，与扶贫措施落实相结合，落实各项惠民政策，从解决人民群众最关心、最现实的重点难点实事做起，完善基础设施、健全保障机制、提升服务水平，实现发展成果人人共享，打造和谐金家井、魅力金家井。</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4、抓稳定求发展，加强社会管理</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树立“大综治”格局理念，将社会综合治理工作作为各项工作重中之重，落实责任、健全制度、强化措施，以建设“和谐金家井”为目标，加强创新社会管理，营造安全稳定和谐的生产生活环境。</w:t>
      </w:r>
    </w:p>
    <w:p>
      <w:pPr>
        <w:ind w:firstLine="643" w:firstLineChars="200"/>
        <w:rPr>
          <w:rFonts w:ascii="仿宋" w:hAnsi="仿宋" w:eastAsia="仿宋"/>
          <w:b/>
          <w:sz w:val="32"/>
          <w:szCs w:val="32"/>
        </w:rPr>
      </w:pPr>
      <w:r>
        <w:rPr>
          <w:rFonts w:hint="eastAsia" w:ascii="仿宋" w:hAnsi="仿宋" w:eastAsia="仿宋"/>
          <w:b/>
          <w:sz w:val="32"/>
          <w:szCs w:val="32"/>
        </w:rPr>
        <w:t>（三）、工作保障措施</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1.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2.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3.社会事务办公室（同时挂计划生育办公室牌子）：负责乡镇的拥军</w:t>
      </w:r>
      <w:r>
        <w:rPr>
          <w:rFonts w:hint="eastAsia" w:ascii="仿宋" w:hAnsi="仿宋" w:eastAsia="仿宋"/>
          <w:sz w:val="32"/>
          <w:szCs w:val="32"/>
          <w:lang w:val="en-US" w:eastAsia="zh-CN"/>
        </w:rPr>
        <w:t>优</w:t>
      </w:r>
      <w:r>
        <w:rPr>
          <w:rFonts w:hint="eastAsia" w:ascii="仿宋" w:hAnsi="仿宋" w:eastAsia="仿宋"/>
          <w:sz w:val="32"/>
          <w:szCs w:val="32"/>
        </w:rP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4.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5.财政所：负责乡镇财政预算及执行，监管乡镇、村专项资金的使用，开展绩效分析，搞好定期定补人员的管理。</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6.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7.计划生育服务中心：贯彻执行计划生育基本国策，控制人口增长，提供生殖健康服务。</w:t>
      </w:r>
    </w:p>
    <w:p>
      <w:pPr>
        <w:spacing w:line="520" w:lineRule="exact"/>
        <w:ind w:firstLine="640" w:firstLineChars="200"/>
        <w:jc w:val="left"/>
        <w:outlineLvl w:val="0"/>
        <w:rPr>
          <w:rFonts w:ascii="仿宋" w:hAnsi="仿宋" w:eastAsia="仿宋"/>
          <w:sz w:val="32"/>
          <w:szCs w:val="32"/>
        </w:rPr>
        <w:sectPr>
          <w:footerReference r:id="rId4" w:type="default"/>
          <w:pgSz w:w="11907" w:h="16839"/>
          <w:pgMar w:top="1531" w:right="510" w:bottom="1474" w:left="964" w:header="851" w:footer="992" w:gutter="0"/>
          <w:pgNumType w:start="1"/>
          <w:cols w:space="720" w:num="1"/>
          <w:docGrid w:type="lines" w:linePitch="312" w:charSpace="0"/>
        </w:sectPr>
      </w:pPr>
      <w:r>
        <w:rPr>
          <w:rFonts w:hint="eastAsia" w:ascii="仿宋" w:hAnsi="仿宋" w:eastAsia="仿宋"/>
          <w:sz w:val="32"/>
          <w:szCs w:val="32"/>
        </w:rPr>
        <w:t xml:space="preserve">8.综合文化服务中心：推进农村宣传文化事业发展，活跃农民精神文化生活，开展好农村精神文明建设工作。推进乡镇农村科技、文化、体育等各项社会事业的进步，全面促进各项社会事业健康有序发展。   </w:t>
      </w:r>
    </w:p>
    <w:p>
      <w:pPr>
        <w:ind w:firstLine="643" w:firstLineChars="200"/>
        <w:rPr>
          <w:rFonts w:ascii="仿宋" w:hAnsi="仿宋" w:eastAsia="仿宋"/>
          <w:b/>
          <w:sz w:val="32"/>
          <w:szCs w:val="32"/>
        </w:rPr>
      </w:pPr>
    </w:p>
    <w:p>
      <w:pPr>
        <w:ind w:firstLine="482" w:firstLineChars="150"/>
        <w:rPr>
          <w:rFonts w:ascii="仿宋" w:hAnsi="仿宋" w:eastAsia="仿宋"/>
          <w:b/>
          <w:sz w:val="32"/>
          <w:szCs w:val="32"/>
        </w:rPr>
      </w:pPr>
      <w:r>
        <w:rPr>
          <w:rFonts w:hint="eastAsia" w:ascii="仿宋" w:hAnsi="仿宋" w:eastAsia="仿宋"/>
          <w:b/>
          <w:sz w:val="32"/>
          <w:szCs w:val="32"/>
        </w:rPr>
        <w:t>（四）预算项目绩效目标</w:t>
      </w:r>
    </w:p>
    <w:p>
      <w:pPr>
        <w:jc w:val="center"/>
        <w:rPr>
          <w:rFonts w:ascii="仿宋" w:hAnsi="仿宋" w:eastAsia="仿宋"/>
        </w:rPr>
      </w:pPr>
    </w:p>
    <w:p>
      <w:pPr>
        <w:numPr>
          <w:ilvl w:val="0"/>
          <w:numId w:val="2"/>
        </w:numPr>
        <w:jc w:val="left"/>
        <w:outlineLvl w:val="1"/>
        <w:rPr>
          <w:rFonts w:ascii="仿宋" w:hAnsi="仿宋" w:eastAsia="仿宋"/>
          <w:b/>
          <w:sz w:val="32"/>
          <w:szCs w:val="32"/>
        </w:rPr>
      </w:pPr>
      <w:r>
        <w:rPr>
          <w:rFonts w:hint="eastAsia" w:ascii="仿宋" w:hAnsi="仿宋" w:eastAsia="仿宋"/>
          <w:b/>
          <w:sz w:val="28"/>
        </w:rPr>
        <w:t>报刊款绩效目标表</w:t>
      </w:r>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仿宋" w:hAnsi="仿宋" w:eastAsia="仿宋"/>
                <w:sz w:val="24"/>
              </w:rPr>
            </w:pPr>
            <w:r>
              <w:rPr>
                <w:rFonts w:ascii="仿宋" w:hAnsi="仿宋" w:eastAsia="仿宋"/>
                <w:sz w:val="24"/>
              </w:rPr>
              <w:t>990</w:t>
            </w:r>
            <w:r>
              <w:rPr>
                <w:rFonts w:hint="eastAsia" w:ascii="仿宋" w:hAnsi="仿宋" w:eastAsia="仿宋"/>
                <w:sz w:val="24"/>
              </w:rPr>
              <w:t>涞源县金家井乡人民政府</w:t>
            </w:r>
          </w:p>
        </w:tc>
        <w:tc>
          <w:tcPr>
            <w:tcW w:w="2948" w:type="dxa"/>
            <w:gridSpan w:val="4"/>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仿宋" w:hAnsi="仿宋" w:eastAsia="仿宋"/>
                <w:sz w:val="24"/>
              </w:rPr>
            </w:pPr>
            <w:r>
              <w:rPr>
                <w:rFonts w:hint="eastAsia" w:ascii="仿宋" w:hAnsi="仿宋" w:eastAsia="仿宋"/>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职责活动</w:t>
            </w:r>
          </w:p>
        </w:tc>
        <w:tc>
          <w:tcPr>
            <w:tcW w:w="1276"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年度预算数</w:t>
            </w:r>
          </w:p>
        </w:tc>
        <w:tc>
          <w:tcPr>
            <w:tcW w:w="2976"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内容描述</w:t>
            </w:r>
          </w:p>
        </w:tc>
        <w:tc>
          <w:tcPr>
            <w:tcW w:w="2976"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绩效目标</w:t>
            </w:r>
          </w:p>
        </w:tc>
        <w:tc>
          <w:tcPr>
            <w:tcW w:w="1417" w:type="dxa"/>
            <w:vMerge w:val="restart"/>
            <w:shd w:val="clear" w:color="auto" w:fill="auto"/>
            <w:vAlign w:val="center"/>
          </w:tcPr>
          <w:p>
            <w:pPr>
              <w:spacing w:line="300" w:lineRule="exact"/>
              <w:jc w:val="center"/>
              <w:rPr>
                <w:rFonts w:ascii="仿宋" w:hAnsi="仿宋" w:eastAsia="仿宋"/>
                <w:b/>
              </w:rPr>
            </w:pPr>
            <w:r>
              <w:rPr>
                <w:rFonts w:hint="eastAsia" w:ascii="仿宋" w:hAnsi="仿宋" w:eastAsia="仿宋"/>
                <w:b/>
              </w:rPr>
              <w:t>绩效指标</w:t>
            </w:r>
          </w:p>
        </w:tc>
        <w:tc>
          <w:tcPr>
            <w:tcW w:w="2948" w:type="dxa"/>
            <w:gridSpan w:val="4"/>
            <w:shd w:val="clear" w:color="auto" w:fill="auto"/>
            <w:vAlign w:val="center"/>
          </w:tcPr>
          <w:p>
            <w:pPr>
              <w:spacing w:line="300" w:lineRule="exact"/>
              <w:jc w:val="center"/>
              <w:rPr>
                <w:rFonts w:ascii="仿宋" w:hAnsi="仿宋" w:eastAsia="仿宋"/>
                <w:b/>
              </w:rPr>
            </w:pPr>
            <w:r>
              <w:rPr>
                <w:rFonts w:hint="eastAsia" w:ascii="仿宋" w:hAnsi="仿宋" w:eastAsia="仿宋"/>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jc w:val="left"/>
              <w:outlineLvl w:val="0"/>
              <w:rPr>
                <w:rFonts w:ascii="仿宋" w:hAnsi="仿宋" w:eastAsia="仿宋"/>
              </w:rPr>
            </w:pPr>
          </w:p>
        </w:tc>
        <w:tc>
          <w:tcPr>
            <w:tcW w:w="1276" w:type="dxa"/>
            <w:vMerge w:val="continue"/>
            <w:shd w:val="clear" w:color="auto" w:fill="auto"/>
            <w:vAlign w:val="center"/>
          </w:tcPr>
          <w:p>
            <w:pPr>
              <w:spacing w:line="300" w:lineRule="exact"/>
              <w:jc w:val="left"/>
              <w:outlineLvl w:val="0"/>
              <w:rPr>
                <w:rFonts w:ascii="仿宋" w:hAnsi="仿宋" w:eastAsia="仿宋"/>
              </w:rPr>
            </w:pPr>
          </w:p>
        </w:tc>
        <w:tc>
          <w:tcPr>
            <w:tcW w:w="2976" w:type="dxa"/>
            <w:vMerge w:val="continue"/>
            <w:shd w:val="clear" w:color="auto" w:fill="auto"/>
            <w:vAlign w:val="center"/>
          </w:tcPr>
          <w:p>
            <w:pPr>
              <w:spacing w:line="300" w:lineRule="exact"/>
              <w:jc w:val="left"/>
              <w:outlineLvl w:val="0"/>
              <w:rPr>
                <w:rFonts w:ascii="仿宋" w:hAnsi="仿宋" w:eastAsia="仿宋"/>
              </w:rPr>
            </w:pPr>
          </w:p>
        </w:tc>
        <w:tc>
          <w:tcPr>
            <w:tcW w:w="2976" w:type="dxa"/>
            <w:vMerge w:val="continue"/>
            <w:shd w:val="clear" w:color="auto" w:fill="auto"/>
            <w:vAlign w:val="center"/>
          </w:tcPr>
          <w:p>
            <w:pPr>
              <w:spacing w:line="300" w:lineRule="exact"/>
              <w:jc w:val="left"/>
              <w:outlineLvl w:val="0"/>
              <w:rPr>
                <w:rFonts w:ascii="仿宋" w:hAnsi="仿宋" w:eastAsia="仿宋"/>
              </w:rPr>
            </w:pPr>
          </w:p>
        </w:tc>
        <w:tc>
          <w:tcPr>
            <w:tcW w:w="1417" w:type="dxa"/>
            <w:vMerge w:val="continue"/>
            <w:shd w:val="clear" w:color="auto" w:fill="auto"/>
            <w:vAlign w:val="center"/>
          </w:tcPr>
          <w:p>
            <w:pPr>
              <w:spacing w:line="300" w:lineRule="exact"/>
              <w:jc w:val="left"/>
              <w:outlineLvl w:val="0"/>
              <w:rPr>
                <w:rFonts w:ascii="仿宋" w:hAnsi="仿宋" w:eastAsia="仿宋"/>
              </w:rPr>
            </w:pPr>
          </w:p>
        </w:tc>
        <w:tc>
          <w:tcPr>
            <w:tcW w:w="737" w:type="dxa"/>
            <w:shd w:val="clear" w:color="auto" w:fill="auto"/>
            <w:vAlign w:val="center"/>
          </w:tcPr>
          <w:p>
            <w:pPr>
              <w:spacing w:line="300" w:lineRule="exact"/>
              <w:jc w:val="center"/>
              <w:rPr>
                <w:rFonts w:ascii="仿宋" w:hAnsi="仿宋" w:eastAsia="仿宋"/>
                <w:b/>
              </w:rPr>
            </w:pPr>
            <w:r>
              <w:rPr>
                <w:rFonts w:hint="eastAsia" w:ascii="仿宋" w:hAnsi="仿宋" w:eastAsia="仿宋"/>
                <w:b/>
              </w:rPr>
              <w:t>优</w:t>
            </w:r>
          </w:p>
        </w:tc>
        <w:tc>
          <w:tcPr>
            <w:tcW w:w="737" w:type="dxa"/>
            <w:shd w:val="clear" w:color="auto" w:fill="auto"/>
            <w:vAlign w:val="center"/>
          </w:tcPr>
          <w:p>
            <w:pPr>
              <w:spacing w:line="300" w:lineRule="exact"/>
              <w:jc w:val="center"/>
              <w:rPr>
                <w:rFonts w:ascii="仿宋" w:hAnsi="仿宋" w:eastAsia="仿宋"/>
                <w:b/>
              </w:rPr>
            </w:pPr>
            <w:r>
              <w:rPr>
                <w:rFonts w:hint="eastAsia" w:ascii="仿宋" w:hAnsi="仿宋" w:eastAsia="仿宋"/>
                <w:b/>
              </w:rPr>
              <w:t>良</w:t>
            </w:r>
          </w:p>
        </w:tc>
        <w:tc>
          <w:tcPr>
            <w:tcW w:w="737" w:type="dxa"/>
            <w:shd w:val="clear" w:color="auto" w:fill="auto"/>
            <w:vAlign w:val="center"/>
          </w:tcPr>
          <w:p>
            <w:pPr>
              <w:spacing w:line="300" w:lineRule="exact"/>
              <w:jc w:val="center"/>
              <w:rPr>
                <w:rFonts w:ascii="仿宋" w:hAnsi="仿宋" w:eastAsia="仿宋"/>
                <w:b/>
              </w:rPr>
            </w:pPr>
            <w:r>
              <w:rPr>
                <w:rFonts w:hint="eastAsia" w:ascii="仿宋" w:hAnsi="仿宋" w:eastAsia="仿宋"/>
                <w:b/>
              </w:rPr>
              <w:t>中</w:t>
            </w:r>
          </w:p>
        </w:tc>
        <w:tc>
          <w:tcPr>
            <w:tcW w:w="737" w:type="dxa"/>
            <w:shd w:val="clear" w:color="auto" w:fill="auto"/>
            <w:vAlign w:val="center"/>
          </w:tcPr>
          <w:p>
            <w:pPr>
              <w:spacing w:line="300" w:lineRule="exact"/>
              <w:jc w:val="center"/>
              <w:rPr>
                <w:rFonts w:ascii="仿宋" w:hAnsi="仿宋" w:eastAsia="仿宋"/>
                <w:b/>
              </w:rPr>
            </w:pPr>
            <w:r>
              <w:rPr>
                <w:rFonts w:hint="eastAsia" w:ascii="仿宋" w:hAnsi="仿宋" w:eastAsia="仿宋"/>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一、基层政权建设</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1.00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宣传贯彻执行党的路线、方针、政策和国家的法律法规，执行本级人民代表大会的决议和上级国家行政机关的决定和命令。</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乡镇要按照建设</w:t>
            </w:r>
            <w:r>
              <w:rPr>
                <w:rFonts w:hint="cs" w:ascii="仿宋" w:hAnsi="仿宋" w:eastAsia="仿宋"/>
              </w:rPr>
              <w:t>“</w:t>
            </w:r>
            <w:r>
              <w:rPr>
                <w:rFonts w:hint="eastAsia" w:ascii="仿宋" w:hAnsi="仿宋" w:eastAsia="仿宋"/>
              </w:rPr>
              <w:t>生产发展、生活宽裕、乡风文明、村容整洁、管理民主</w:t>
            </w:r>
            <w:r>
              <w:rPr>
                <w:rFonts w:hint="cs" w:ascii="仿宋" w:hAnsi="仿宋" w:eastAsia="仿宋"/>
              </w:rPr>
              <w:t>”</w:t>
            </w:r>
            <w:r>
              <w:rPr>
                <w:rFonts w:hint="eastAsia" w:ascii="仿宋" w:hAnsi="仿宋" w:eastAsia="仿宋"/>
              </w:rPr>
              <w:t>的社会主义新农村的要求，全面推进农村的经济、政治、文化、社会和经济发展。</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、加强基层政权建设</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1.00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促进经济发展，加强社会管理，提供公共服务，维护农村稳定。</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抓住经济发展这个第一要务，加强社会管理和公共服务职能，逐步实现由管理型向服务型转变，努力建设服务型、法制型政府，更好为</w:t>
            </w:r>
            <w:r>
              <w:rPr>
                <w:rFonts w:hint="cs" w:ascii="仿宋" w:hAnsi="仿宋" w:eastAsia="仿宋"/>
              </w:rPr>
              <w:t>“</w:t>
            </w:r>
            <w:r>
              <w:rPr>
                <w:rFonts w:hint="eastAsia" w:ascii="仿宋" w:hAnsi="仿宋" w:eastAsia="仿宋"/>
              </w:rPr>
              <w:t>三农</w:t>
            </w:r>
            <w:r>
              <w:rPr>
                <w:rFonts w:hint="cs" w:ascii="仿宋" w:hAnsi="仿宋" w:eastAsia="仿宋"/>
              </w:rPr>
              <w:t>”</w:t>
            </w:r>
            <w:r>
              <w:rPr>
                <w:rFonts w:hint="eastAsia" w:ascii="仿宋" w:hAnsi="仿宋" w:eastAsia="仿宋"/>
              </w:rPr>
              <w:t>服务。</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强化基层政权建设，大力提升乡镇经济发展的水平。</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极强</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强</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一般</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二、党组织建设和基层民主整治建设。</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搞好农村党组织建设和基层民主政治建设。</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保障法律法规赋予公民的基本权利，负责基层</w:t>
            </w:r>
            <w:r>
              <w:rPr>
                <w:rFonts w:hint="eastAsia" w:ascii="仿宋" w:hAnsi="仿宋" w:eastAsia="仿宋"/>
                <w:lang w:val="en-US" w:eastAsia="zh-CN"/>
              </w:rPr>
              <w:t>党</w:t>
            </w:r>
            <w:bookmarkStart w:id="0" w:name="_GoBack"/>
            <w:bookmarkEnd w:id="0"/>
            <w:r>
              <w:rPr>
                <w:rFonts w:hint="eastAsia" w:ascii="仿宋" w:hAnsi="仿宋" w:eastAsia="仿宋"/>
              </w:rPr>
              <w:t>支部书记及支部委员的培训和管理。</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、抓好基层党组织组织建设和法治建设。</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抓好基层党组织建设和基层民主政治建设，保障法律法规赋予公民的基本权利。</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基层党组织战斗力强、民主政治建设制度健全。</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基层党组织战斗力、民主政治建设制度健全。</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极强</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强</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一般</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三、指导、协调、联络工作。</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24.00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协调与其他单位、部门单位之间的关系。</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保障对人大、武装、群团、政协及派驻乡各类机构的工作、指导及协调，保障乡总体情况的综合与统计、文秘、文书档案管理及上报下达工作及纪检监察与人民武装等工作的顺利进行。</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、协调各单位、各部门之间的关系。</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24.00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保障人大、武装、纪检监察等各项工作顺利开展。</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各项工作任务顺利完成。</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满意度率。</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65%</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四、信访、维稳及乡村法制建设。</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建立完善协调联动机制，建立健全调解防范体制，完善村、乡两级组织，充分发挥村级自治和司法解释的作用。</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及时有效处理群众来信来访，调查社情民意，扶持弱势群众，加强重点监管，搞好农村矛盾纠纷的排查调处，加强社会治安综合治理，维护社会安全秩序，妥善处理突发性群体事件，协助司法机关打击各类刑事犯罪活动。</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、处理来信来访、加强法制建设。</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及时有效的了解民情民意、扶持弱势群众，加强社会治安管理，维护社会安定秩序。</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处理群众来信来访，社会综合治理达到群众满意。</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群众满意度。</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65%</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五、制定产业规划，调整发展模式，发展村级经济。</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907.70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科学制定本乡产业规划，谋划适应乡镇实际的发展模式，并组织实施。</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、制定产业规划，培育和发展农民专业合作组织和中介组织。</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907.70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壮大第二、第三产业，增强农村集体经济组织经济实力。</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农村集体经济实力明显增强。</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经济实力增长率。</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很满意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基本满意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六、乡村财政资金管理。</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加强乡村财政资金管理。</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负责本级财务管理工作指导、监督各村管好用好集体资金，负责城镇建设的有关职责。</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、指导各村管好用好集体资金。</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负责指导监督各村管好用好各项集体资金。</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农村集体资金能够做到合法、合理利用。</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资金合法、合理、有效利用率。</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65%</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七、社会事务管理和社会保障。</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5.67</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协助县直有关部门做好农村社会保障工作，建立健全农村合作医疗、低保、救济等制度，搞好优抚工作，解除农民后顾之忧。</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加强对农村劳动力的职业培训，扩大农村富余劳动力就业；协助县直有关部门做好公共事业管理工作；拥军</w:t>
            </w:r>
            <w:r>
              <w:rPr>
                <w:rFonts w:hint="eastAsia" w:ascii="仿宋" w:hAnsi="仿宋" w:eastAsia="仿宋"/>
                <w:lang w:eastAsia="zh-CN"/>
              </w:rPr>
              <w:t>优</w:t>
            </w:r>
            <w:r>
              <w:rPr>
                <w:rFonts w:hint="eastAsia" w:ascii="仿宋" w:hAnsi="仿宋" w:eastAsia="仿宋"/>
              </w:rPr>
              <w:t>属、救灾扶贫，妥善安置残疾人就业，负责殡葬改革工作，指导村民委员会的建设和换届选举工作。</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、就业及劳动技能培训。</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加强对农村劳动力的职业培训，扩大农村富余劳动力就业。</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农村富余劳动力就业率高。</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农村富余劳动力就业率。</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、社会事务管理</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协助县直有关部门做好公共事业管理工作；拥军</w:t>
            </w:r>
            <w:r>
              <w:rPr>
                <w:rFonts w:hint="eastAsia" w:ascii="仿宋" w:hAnsi="仿宋" w:eastAsia="仿宋"/>
                <w:lang w:eastAsia="zh-CN"/>
              </w:rPr>
              <w:t>优</w:t>
            </w:r>
            <w:r>
              <w:rPr>
                <w:rFonts w:hint="eastAsia" w:ascii="仿宋" w:hAnsi="仿宋" w:eastAsia="仿宋"/>
              </w:rPr>
              <w:t>属、救灾扶贫，妥善安置残疾人就业，负责殡葬改革工作，指导村民委员会的建设和换届选举工作。。</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群众对社保工作满意。</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群众对社保工作满意。</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3</w:t>
            </w:r>
            <w:r>
              <w:rPr>
                <w:rFonts w:hint="eastAsia" w:ascii="仿宋" w:hAnsi="仿宋" w:eastAsia="仿宋"/>
                <w:b/>
              </w:rPr>
              <w:t>、防火、防汛</w:t>
            </w:r>
          </w:p>
        </w:tc>
        <w:tc>
          <w:tcPr>
            <w:tcW w:w="1276" w:type="dxa"/>
            <w:vMerge w:val="restart"/>
            <w:shd w:val="clear" w:color="auto" w:fill="auto"/>
            <w:vAlign w:val="center"/>
          </w:tcPr>
          <w:p>
            <w:pPr>
              <w:spacing w:line="300" w:lineRule="exact"/>
              <w:jc w:val="left"/>
              <w:rPr>
                <w:rFonts w:ascii="仿宋" w:hAnsi="仿宋" w:eastAsia="仿宋"/>
              </w:rPr>
            </w:pPr>
            <w:r>
              <w:rPr>
                <w:rFonts w:ascii="仿宋" w:hAnsi="仿宋" w:eastAsia="仿宋"/>
              </w:rPr>
              <w:t>3.00</w:t>
            </w:r>
          </w:p>
        </w:tc>
        <w:tc>
          <w:tcPr>
            <w:tcW w:w="2976" w:type="dxa"/>
            <w:vMerge w:val="restart"/>
            <w:shd w:val="clear" w:color="auto" w:fill="auto"/>
            <w:vAlign w:val="center"/>
          </w:tcPr>
          <w:p>
            <w:pPr>
              <w:spacing w:line="300" w:lineRule="exact"/>
              <w:jc w:val="left"/>
              <w:rPr>
                <w:rFonts w:ascii="仿宋" w:hAnsi="仿宋" w:eastAsia="仿宋"/>
              </w:rPr>
            </w:pPr>
            <w:r>
              <w:rPr>
                <w:rFonts w:hint="eastAsia" w:ascii="仿宋" w:hAnsi="仿宋" w:eastAsia="仿宋"/>
              </w:rPr>
              <w:t>反映辖区内预防扑救火灾、自然旱灾害等发生支出</w:t>
            </w:r>
          </w:p>
        </w:tc>
        <w:tc>
          <w:tcPr>
            <w:tcW w:w="2976" w:type="dxa"/>
            <w:vMerge w:val="restart"/>
            <w:shd w:val="clear" w:color="auto" w:fill="auto"/>
            <w:vAlign w:val="center"/>
          </w:tcPr>
          <w:p>
            <w:pPr>
              <w:spacing w:line="300" w:lineRule="exact"/>
              <w:jc w:val="left"/>
              <w:rPr>
                <w:rFonts w:ascii="仿宋" w:hAnsi="仿宋" w:eastAsia="仿宋"/>
              </w:rPr>
            </w:pPr>
            <w:r>
              <w:rPr>
                <w:rFonts w:hint="eastAsia" w:ascii="仿宋" w:hAnsi="仿宋" w:eastAsia="仿宋"/>
              </w:rPr>
              <w:t>防汛指标</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效果指标</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非常满意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一般满意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仿宋" w:hAnsi="仿宋" w:eastAsia="仿宋"/>
                <w:b/>
              </w:rPr>
            </w:pPr>
          </w:p>
        </w:tc>
        <w:tc>
          <w:tcPr>
            <w:tcW w:w="1276" w:type="dxa"/>
            <w:vMerge w:val="continue"/>
            <w:shd w:val="clear" w:color="auto" w:fill="auto"/>
            <w:vAlign w:val="center"/>
          </w:tcPr>
          <w:p>
            <w:pPr>
              <w:spacing w:line="300" w:lineRule="exact"/>
              <w:jc w:val="left"/>
              <w:rPr>
                <w:rFonts w:ascii="仿宋" w:hAnsi="仿宋" w:eastAsia="仿宋"/>
              </w:rPr>
            </w:pPr>
          </w:p>
        </w:tc>
        <w:tc>
          <w:tcPr>
            <w:tcW w:w="2976" w:type="dxa"/>
            <w:vMerge w:val="continue"/>
            <w:shd w:val="clear" w:color="auto" w:fill="auto"/>
            <w:vAlign w:val="center"/>
          </w:tcPr>
          <w:p>
            <w:pPr>
              <w:spacing w:line="300" w:lineRule="exact"/>
              <w:jc w:val="left"/>
              <w:rPr>
                <w:rFonts w:ascii="仿宋" w:hAnsi="仿宋" w:eastAsia="仿宋"/>
              </w:rPr>
            </w:pPr>
          </w:p>
        </w:tc>
        <w:tc>
          <w:tcPr>
            <w:tcW w:w="2976" w:type="dxa"/>
            <w:vMerge w:val="continue"/>
            <w:shd w:val="clear" w:color="auto" w:fill="auto"/>
            <w:vAlign w:val="center"/>
          </w:tcPr>
          <w:p>
            <w:pPr>
              <w:spacing w:line="300" w:lineRule="exact"/>
              <w:jc w:val="left"/>
              <w:rPr>
                <w:rFonts w:ascii="仿宋" w:hAnsi="仿宋" w:eastAsia="仿宋"/>
              </w:rPr>
            </w:pP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效果指标</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非常满意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一般满意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4</w:t>
            </w:r>
            <w:r>
              <w:rPr>
                <w:rFonts w:hint="eastAsia" w:ascii="仿宋" w:hAnsi="仿宋" w:eastAsia="仿宋"/>
                <w:b/>
              </w:rPr>
              <w:t>、民政事务</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0.67</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反映民政部门接待来访、政策宣传方面的支出</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群众满意度</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效果</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非常满意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基本满意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5</w:t>
            </w:r>
            <w:r>
              <w:rPr>
                <w:rFonts w:hint="eastAsia" w:ascii="仿宋" w:hAnsi="仿宋" w:eastAsia="仿宋"/>
                <w:b/>
              </w:rPr>
              <w:t>、农村环境保护</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2.00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反映用于农村环境保护方面的支出</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农村环境治理</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效果指标</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八、计划生育。</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2.01</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提供各类计划生育技术服务，建立利益导向机制，开展出生人口性别比治理以及流动人口计划生育管理等各项工作。</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、计划生育服务。</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1.34</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有效降低出生缺陷发生风险；为各类育龄人群提供安全、有效避孕节育技术服务。</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免费孕前优生健康检查目标人群、已婚育龄妇女检查覆盖率。</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、计划生育奖励扶持政策。</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采取奖励、扶助、社会保障等机制，引导家庭和个人打取计划生育措施，提高计划生育家庭发展能力。</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稳定适度的低生育水平，提高计划生育家庭发展能力，增强计划生育家庭及成员幸福感。</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农村部分计划生育家庭奖励扶助政策落实率。</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3</w:t>
            </w:r>
            <w:r>
              <w:rPr>
                <w:rFonts w:hint="eastAsia" w:ascii="仿宋" w:hAnsi="仿宋" w:eastAsia="仿宋"/>
                <w:b/>
              </w:rPr>
              <w:t>、计划生育政策宣传、计划生育专职人员培训。</w:t>
            </w:r>
          </w:p>
        </w:tc>
        <w:tc>
          <w:tcPr>
            <w:tcW w:w="1276" w:type="dxa"/>
            <w:shd w:val="clear" w:color="auto" w:fill="auto"/>
            <w:vAlign w:val="center"/>
          </w:tcPr>
          <w:p>
            <w:pPr>
              <w:spacing w:line="300" w:lineRule="exact"/>
              <w:jc w:val="left"/>
              <w:rPr>
                <w:rFonts w:ascii="仿宋" w:hAnsi="仿宋" w:eastAsia="仿宋"/>
              </w:rPr>
            </w:pP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通过计划生育宣传、培训，提高计生专职人员的业务素质，提高辖区内计划生育家庭的幸福。</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通过计划生育宣传、培训，提高计生专职人员的业务素质。</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全面掌握计划生育政策、计生专职人员的业务水平大幅提高。</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很满意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基本满意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4</w:t>
            </w:r>
            <w:r>
              <w:rPr>
                <w:rFonts w:hint="eastAsia" w:ascii="仿宋" w:hAnsi="仿宋" w:eastAsia="仿宋"/>
                <w:b/>
              </w:rPr>
              <w:t>、卫生服务</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0.67</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基本医疗卫生机构支出</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提高群众满意度</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效果指标</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非常满意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基本满意</w:t>
            </w:r>
          </w:p>
        </w:tc>
        <w:tc>
          <w:tcPr>
            <w:tcW w:w="737" w:type="dxa"/>
            <w:shd w:val="clear" w:color="auto" w:fill="auto"/>
            <w:vAlign w:val="center"/>
          </w:tcPr>
          <w:p>
            <w:pPr>
              <w:spacing w:line="300" w:lineRule="exact"/>
              <w:jc w:val="center"/>
              <w:rPr>
                <w:rFonts w:ascii="仿宋" w:hAnsi="仿宋" w:eastAsia="仿宋"/>
              </w:rPr>
            </w:pPr>
            <w:r>
              <w:rPr>
                <w:rFonts w:hint="eastAsia" w:ascii="仿宋" w:hAnsi="仿宋" w:eastAsia="仿宋"/>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九、农村文化、精神文明奖建设</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2.50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宣传国家的方针政策、活跃农村文化生活，负责群众文化工作，组织各种群众文化活动。</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做好文化宣传工作，积极宣传国家的方针政策；加强对外联系，不断改进文化广播各项业务工作；负责乡镇及各村在文化广播事业上的有关技术工作和文化市场信息反馈工作；完成乡党委、政府及上级有关部门交办的其他工作。</w:t>
            </w:r>
          </w:p>
        </w:tc>
        <w:tc>
          <w:tcPr>
            <w:tcW w:w="1417" w:type="dxa"/>
            <w:shd w:val="clear" w:color="auto" w:fill="auto"/>
            <w:vAlign w:val="center"/>
          </w:tcPr>
          <w:p>
            <w:pPr>
              <w:spacing w:line="300" w:lineRule="exact"/>
              <w:jc w:val="left"/>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c>
          <w:tcPr>
            <w:tcW w:w="737" w:type="dxa"/>
            <w:shd w:val="clear" w:color="auto" w:fill="auto"/>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、宣传国家的方针政策、活跃农村文化生活。</w:t>
            </w:r>
          </w:p>
        </w:tc>
        <w:tc>
          <w:tcPr>
            <w:tcW w:w="1276" w:type="dxa"/>
            <w:shd w:val="clear" w:color="auto" w:fill="auto"/>
            <w:vAlign w:val="center"/>
          </w:tcPr>
          <w:p>
            <w:pPr>
              <w:spacing w:line="300" w:lineRule="exact"/>
              <w:jc w:val="left"/>
              <w:rPr>
                <w:rFonts w:ascii="仿宋" w:hAnsi="仿宋" w:eastAsia="仿宋"/>
              </w:rPr>
            </w:pPr>
            <w:r>
              <w:rPr>
                <w:rFonts w:ascii="仿宋" w:hAnsi="仿宋" w:eastAsia="仿宋"/>
              </w:rPr>
              <w:t>2.50</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tc>
        <w:tc>
          <w:tcPr>
            <w:tcW w:w="2976" w:type="dxa"/>
            <w:shd w:val="clear" w:color="auto" w:fill="auto"/>
            <w:vAlign w:val="center"/>
          </w:tcPr>
          <w:p>
            <w:pPr>
              <w:spacing w:line="300" w:lineRule="exact"/>
              <w:jc w:val="left"/>
              <w:rPr>
                <w:rFonts w:ascii="仿宋" w:hAnsi="仿宋" w:eastAsia="仿宋"/>
              </w:rPr>
            </w:pPr>
            <w:r>
              <w:rPr>
                <w:rFonts w:hint="eastAsia" w:ascii="仿宋" w:hAnsi="仿宋" w:eastAsia="仿宋"/>
              </w:rPr>
              <w:t>农村文化、精神文明奖建设</w:t>
            </w:r>
          </w:p>
        </w:tc>
        <w:tc>
          <w:tcPr>
            <w:tcW w:w="1417" w:type="dxa"/>
            <w:shd w:val="clear" w:color="auto" w:fill="auto"/>
            <w:vAlign w:val="center"/>
          </w:tcPr>
          <w:p>
            <w:pPr>
              <w:spacing w:line="300" w:lineRule="exact"/>
              <w:jc w:val="left"/>
              <w:rPr>
                <w:rFonts w:ascii="仿宋" w:hAnsi="仿宋" w:eastAsia="仿宋"/>
              </w:rPr>
            </w:pPr>
            <w:r>
              <w:rPr>
                <w:rFonts w:hint="eastAsia" w:ascii="仿宋" w:hAnsi="仿宋" w:eastAsia="仿宋"/>
              </w:rPr>
              <w:t>大力发展文化事业，活跃农民文化生活，推动本辖区内文化事业建设。</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shd w:val="clear" w:color="auto" w:fill="auto"/>
            <w:vAlign w:val="center"/>
          </w:tcPr>
          <w:p>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r>
    </w:tbl>
    <w:p>
      <w:pPr>
        <w:ind w:firstLine="630" w:firstLineChars="196"/>
        <w:jc w:val="left"/>
        <w:outlineLvl w:val="0"/>
        <w:rPr>
          <w:rFonts w:ascii="仿宋" w:hAnsi="仿宋" w:eastAsia="仿宋" w:cs="宋体"/>
          <w:b/>
          <w:color w:val="111111"/>
          <w:kern w:val="0"/>
          <w:sz w:val="32"/>
          <w:szCs w:val="32"/>
        </w:rPr>
      </w:pPr>
      <w:r>
        <w:rPr>
          <w:rFonts w:hint="eastAsia" w:ascii="仿宋" w:hAnsi="仿宋" w:eastAsia="仿宋" w:cs="宋体"/>
          <w:b/>
          <w:color w:val="111111"/>
          <w:kern w:val="0"/>
          <w:sz w:val="32"/>
          <w:szCs w:val="32"/>
        </w:rPr>
        <w:br w:type="page"/>
      </w:r>
    </w:p>
    <w:p>
      <w:pPr>
        <w:ind w:firstLine="630" w:firstLineChars="196"/>
        <w:jc w:val="left"/>
        <w:outlineLvl w:val="0"/>
        <w:rPr>
          <w:rFonts w:ascii="宋体" w:hAnsi="宋体" w:cs="宋体"/>
          <w:b/>
          <w:color w:val="111111"/>
          <w:kern w:val="0"/>
          <w:sz w:val="32"/>
          <w:szCs w:val="32"/>
        </w:rPr>
      </w:pPr>
      <w:r>
        <w:rPr>
          <w:rFonts w:hint="eastAsia" w:ascii="宋体" w:hAnsi="宋体" w:cs="宋体"/>
          <w:b/>
          <w:color w:val="111111"/>
          <w:kern w:val="0"/>
          <w:sz w:val="32"/>
          <w:szCs w:val="32"/>
        </w:rPr>
        <w:t>六、政府采购预算情况</w:t>
      </w:r>
    </w:p>
    <w:p>
      <w:pPr>
        <w:ind w:firstLine="630" w:firstLineChars="196"/>
        <w:jc w:val="left"/>
        <w:outlineLvl w:val="0"/>
        <w:rPr>
          <w:rFonts w:ascii="宋体" w:hAnsi="宋体" w:cs="宋体"/>
          <w:b/>
          <w:color w:val="111111"/>
          <w:kern w:val="0"/>
          <w:sz w:val="32"/>
          <w:szCs w:val="32"/>
        </w:rPr>
      </w:pPr>
    </w:p>
    <w:p>
      <w:pPr>
        <w:ind w:firstLine="640" w:firstLineChars="200"/>
        <w:outlineLvl w:val="0"/>
        <w:rPr>
          <w:rFonts w:ascii="仿宋" w:hAnsi="仿宋" w:eastAsia="仿宋" w:cs="宋体"/>
          <w:color w:val="111111"/>
          <w:kern w:val="0"/>
          <w:sz w:val="32"/>
          <w:szCs w:val="32"/>
        </w:rPr>
      </w:pPr>
      <w:r>
        <w:rPr>
          <w:rFonts w:hint="eastAsia" w:ascii="仿宋" w:hAnsi="仿宋" w:eastAsia="仿宋" w:cs="宋体"/>
          <w:color w:val="111111"/>
          <w:kern w:val="0"/>
          <w:sz w:val="32"/>
          <w:szCs w:val="32"/>
        </w:rPr>
        <w:t>2019年,涞源县金家井乡安排采购预算0万元。</w:t>
      </w:r>
    </w:p>
    <w:p>
      <w:pPr>
        <w:ind w:firstLine="640" w:firstLineChars="200"/>
        <w:outlineLvl w:val="0"/>
        <w:rPr>
          <w:rFonts w:ascii="仿宋" w:hAnsi="仿宋" w:eastAsia="仿宋" w:cs="宋体"/>
          <w:color w:val="111111"/>
          <w:kern w:val="0"/>
          <w:sz w:val="32"/>
          <w:szCs w:val="32"/>
        </w:rPr>
      </w:pPr>
    </w:p>
    <w:p>
      <w:pPr>
        <w:jc w:val="center"/>
        <w:rPr>
          <w:rFonts w:ascii="仿宋" w:hAnsi="仿宋" w:eastAsia="仿宋"/>
          <w:b/>
          <w:sz w:val="32"/>
          <w:szCs w:val="32"/>
        </w:rPr>
      </w:pPr>
      <w:r>
        <w:rPr>
          <w:rFonts w:hint="eastAsia" w:ascii="仿宋" w:hAnsi="仿宋" w:eastAsia="仿宋"/>
          <w:b/>
          <w:sz w:val="32"/>
          <w:szCs w:val="32"/>
        </w:rPr>
        <w:t>部门政府采购预算表</w:t>
      </w:r>
    </w:p>
    <w:tbl>
      <w:tblPr>
        <w:tblStyle w:val="7"/>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仿宋"/>
                <w:sz w:val="24"/>
              </w:rPr>
            </w:pPr>
            <w:r>
              <w:rPr>
                <w:rFonts w:hint="eastAsia" w:ascii="仿宋" w:hAnsi="仿宋" w:eastAsia="仿宋" w:cs="宋体"/>
                <w:kern w:val="0"/>
                <w:szCs w:val="21"/>
              </w:rPr>
              <w:t xml:space="preserve"> [101]涞源县 金家井乡人民政府</w:t>
            </w:r>
          </w:p>
        </w:tc>
        <w:tc>
          <w:tcPr>
            <w:tcW w:w="6144" w:type="dxa"/>
            <w:gridSpan w:val="7"/>
            <w:tcBorders>
              <w:top w:val="single" w:color="FFFFFF" w:sz="6" w:space="0"/>
              <w:left w:val="single" w:color="FFFFFF" w:sz="6" w:space="0"/>
              <w:right w:val="single" w:color="FFFFFF" w:sz="6" w:space="0"/>
            </w:tcBorders>
            <w:vAlign w:val="center"/>
          </w:tcPr>
          <w:p>
            <w:pPr>
              <w:spacing w:line="300" w:lineRule="exact"/>
              <w:jc w:val="right"/>
              <w:rPr>
                <w:rFonts w:ascii="仿宋" w:hAnsi="仿宋" w:eastAsia="仿宋"/>
                <w:sz w:val="24"/>
              </w:rPr>
            </w:pPr>
            <w:r>
              <w:rPr>
                <w:rFonts w:hint="eastAsia" w:ascii="仿宋" w:hAnsi="仿宋" w:eastAsia="仿宋" w:cs="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vAlign w:val="center"/>
          </w:tcPr>
          <w:p>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数量单位</w:t>
            </w:r>
          </w:p>
        </w:tc>
        <w:tc>
          <w:tcPr>
            <w:tcW w:w="885"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vAlign w:val="center"/>
          </w:tcPr>
          <w:p>
            <w:pPr>
              <w:spacing w:line="300" w:lineRule="exact"/>
              <w:jc w:val="center"/>
              <w:rPr>
                <w:rFonts w:ascii="仿宋" w:hAnsi="仿宋" w:eastAsia="仿宋"/>
                <w:b/>
                <w:bCs/>
              </w:rPr>
            </w:pPr>
            <w:r>
              <w:rPr>
                <w:rFonts w:hint="eastAsia" w:ascii="仿宋" w:hAnsi="仿宋" w:eastAsia="仿宋"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vAlign w:val="center"/>
          </w:tcPr>
          <w:p>
            <w:pPr>
              <w:spacing w:line="300" w:lineRule="exact"/>
              <w:jc w:val="left"/>
              <w:outlineLvl w:val="0"/>
              <w:rPr>
                <w:rFonts w:ascii="仿宋" w:hAnsi="仿宋" w:eastAsia="仿宋"/>
              </w:rPr>
            </w:pPr>
          </w:p>
        </w:tc>
        <w:tc>
          <w:tcPr>
            <w:tcW w:w="1212" w:type="dxa"/>
            <w:vMerge w:val="continue"/>
            <w:vAlign w:val="center"/>
          </w:tcPr>
          <w:p>
            <w:pPr>
              <w:spacing w:line="300" w:lineRule="exact"/>
              <w:jc w:val="left"/>
              <w:outlineLvl w:val="0"/>
              <w:rPr>
                <w:rFonts w:ascii="仿宋" w:hAnsi="仿宋" w:eastAsia="仿宋"/>
              </w:rPr>
            </w:pPr>
          </w:p>
        </w:tc>
        <w:tc>
          <w:tcPr>
            <w:tcW w:w="885" w:type="dxa"/>
            <w:vMerge w:val="continue"/>
            <w:vAlign w:val="center"/>
          </w:tcPr>
          <w:p>
            <w:pPr>
              <w:spacing w:line="300" w:lineRule="exact"/>
              <w:jc w:val="left"/>
              <w:outlineLvl w:val="0"/>
              <w:rPr>
                <w:rFonts w:ascii="仿宋" w:hAnsi="仿宋" w:eastAsia="仿宋"/>
              </w:rPr>
            </w:pPr>
          </w:p>
        </w:tc>
        <w:tc>
          <w:tcPr>
            <w:tcW w:w="885" w:type="dxa"/>
            <w:vMerge w:val="continue"/>
            <w:vAlign w:val="center"/>
          </w:tcPr>
          <w:p>
            <w:pPr>
              <w:spacing w:line="300" w:lineRule="exact"/>
              <w:jc w:val="left"/>
              <w:outlineLvl w:val="0"/>
              <w:rPr>
                <w:rFonts w:ascii="仿宋" w:hAnsi="仿宋" w:eastAsia="仿宋"/>
              </w:rPr>
            </w:pPr>
          </w:p>
        </w:tc>
        <w:tc>
          <w:tcPr>
            <w:tcW w:w="906" w:type="dxa"/>
            <w:vMerge w:val="continue"/>
            <w:vAlign w:val="center"/>
          </w:tcPr>
          <w:p>
            <w:pPr>
              <w:spacing w:line="300" w:lineRule="exact"/>
              <w:jc w:val="left"/>
              <w:outlineLvl w:val="0"/>
              <w:rPr>
                <w:rFonts w:ascii="仿宋" w:hAnsi="仿宋" w:eastAsia="仿宋"/>
              </w:rPr>
            </w:pPr>
          </w:p>
        </w:tc>
        <w:tc>
          <w:tcPr>
            <w:tcW w:w="885"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vAlign w:val="center"/>
          </w:tcPr>
          <w:p>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vAlign w:val="center"/>
          </w:tcPr>
          <w:p>
            <w:pPr>
              <w:spacing w:line="300" w:lineRule="exact"/>
              <w:jc w:val="center"/>
              <w:rPr>
                <w:rFonts w:ascii="仿宋" w:hAnsi="仿宋" w:eastAsia="仿宋"/>
                <w:b/>
                <w:bCs/>
              </w:rPr>
            </w:pPr>
            <w:r>
              <w:rPr>
                <w:rFonts w:hint="eastAsia" w:ascii="仿宋" w:hAnsi="仿宋" w:eastAsia="仿宋"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vAlign w:val="center"/>
          </w:tcPr>
          <w:p>
            <w:pPr>
              <w:spacing w:line="300" w:lineRule="exact"/>
              <w:jc w:val="left"/>
              <w:outlineLvl w:val="0"/>
              <w:rPr>
                <w:rFonts w:ascii="仿宋" w:hAnsi="仿宋" w:eastAsia="仿宋"/>
              </w:rPr>
            </w:pPr>
          </w:p>
        </w:tc>
        <w:tc>
          <w:tcPr>
            <w:tcW w:w="1068" w:type="dxa"/>
            <w:vMerge w:val="continue"/>
            <w:vAlign w:val="center"/>
          </w:tcPr>
          <w:p>
            <w:pPr>
              <w:spacing w:line="300" w:lineRule="exact"/>
              <w:jc w:val="left"/>
              <w:outlineLvl w:val="0"/>
              <w:rPr>
                <w:rFonts w:ascii="仿宋" w:hAnsi="仿宋" w:eastAsia="仿宋"/>
              </w:rPr>
            </w:pPr>
          </w:p>
        </w:tc>
        <w:tc>
          <w:tcPr>
            <w:tcW w:w="885" w:type="dxa"/>
            <w:vMerge w:val="continue"/>
            <w:vAlign w:val="center"/>
          </w:tcPr>
          <w:p>
            <w:pPr>
              <w:spacing w:line="300" w:lineRule="exact"/>
              <w:jc w:val="left"/>
              <w:outlineLvl w:val="0"/>
              <w:rPr>
                <w:rFonts w:ascii="仿宋" w:hAnsi="仿宋" w:eastAsia="仿宋"/>
              </w:rPr>
            </w:pPr>
          </w:p>
        </w:tc>
        <w:tc>
          <w:tcPr>
            <w:tcW w:w="1212" w:type="dxa"/>
            <w:vMerge w:val="continue"/>
            <w:vAlign w:val="center"/>
          </w:tcPr>
          <w:p>
            <w:pPr>
              <w:spacing w:line="300" w:lineRule="exact"/>
              <w:jc w:val="left"/>
              <w:outlineLvl w:val="0"/>
              <w:rPr>
                <w:rFonts w:ascii="仿宋" w:hAnsi="仿宋" w:eastAsia="仿宋"/>
              </w:rPr>
            </w:pPr>
          </w:p>
        </w:tc>
        <w:tc>
          <w:tcPr>
            <w:tcW w:w="885" w:type="dxa"/>
            <w:vMerge w:val="continue"/>
            <w:vAlign w:val="center"/>
          </w:tcPr>
          <w:p>
            <w:pPr>
              <w:spacing w:line="300" w:lineRule="exact"/>
              <w:jc w:val="left"/>
              <w:outlineLvl w:val="0"/>
              <w:rPr>
                <w:rFonts w:ascii="仿宋" w:hAnsi="仿宋" w:eastAsia="仿宋"/>
              </w:rPr>
            </w:pPr>
          </w:p>
        </w:tc>
        <w:tc>
          <w:tcPr>
            <w:tcW w:w="885" w:type="dxa"/>
            <w:vMerge w:val="continue"/>
            <w:vAlign w:val="center"/>
          </w:tcPr>
          <w:p>
            <w:pPr>
              <w:spacing w:line="300" w:lineRule="exact"/>
              <w:jc w:val="left"/>
              <w:outlineLvl w:val="0"/>
              <w:rPr>
                <w:rFonts w:ascii="仿宋" w:hAnsi="仿宋" w:eastAsia="仿宋"/>
              </w:rPr>
            </w:pPr>
          </w:p>
        </w:tc>
        <w:tc>
          <w:tcPr>
            <w:tcW w:w="906" w:type="dxa"/>
            <w:vMerge w:val="continue"/>
            <w:vAlign w:val="center"/>
          </w:tcPr>
          <w:p>
            <w:pPr>
              <w:spacing w:line="300" w:lineRule="exact"/>
              <w:jc w:val="left"/>
              <w:outlineLvl w:val="0"/>
              <w:rPr>
                <w:rFonts w:ascii="仿宋" w:hAnsi="仿宋" w:eastAsia="仿宋"/>
              </w:rPr>
            </w:pPr>
          </w:p>
        </w:tc>
        <w:tc>
          <w:tcPr>
            <w:tcW w:w="885" w:type="dxa"/>
            <w:vMerge w:val="continue"/>
            <w:vAlign w:val="center"/>
          </w:tcPr>
          <w:p>
            <w:pPr>
              <w:spacing w:line="300" w:lineRule="exact"/>
              <w:jc w:val="left"/>
              <w:outlineLvl w:val="0"/>
              <w:rPr>
                <w:rFonts w:ascii="仿宋" w:hAnsi="仿宋" w:eastAsia="仿宋"/>
              </w:rPr>
            </w:pPr>
          </w:p>
        </w:tc>
        <w:tc>
          <w:tcPr>
            <w:tcW w:w="885" w:type="dxa"/>
            <w:vAlign w:val="center"/>
          </w:tcPr>
          <w:p>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vAlign w:val="center"/>
          </w:tcPr>
          <w:p>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vAlign w:val="center"/>
          </w:tcPr>
          <w:p>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vAlign w:val="center"/>
          </w:tcPr>
          <w:p>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vAlign w:val="center"/>
          </w:tcPr>
          <w:p>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vAlign w:val="center"/>
          </w:tcPr>
          <w:p>
            <w:pPr>
              <w:spacing w:line="300" w:lineRule="exact"/>
              <w:jc w:val="left"/>
              <w:outlineLvl w:val="0"/>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vAlign w:val="center"/>
          </w:tcPr>
          <w:p>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vAlign w:val="center"/>
          </w:tcPr>
          <w:p>
            <w:pPr>
              <w:spacing w:line="300" w:lineRule="exact"/>
              <w:ind w:right="105"/>
              <w:jc w:val="right"/>
              <w:rPr>
                <w:rFonts w:ascii="仿宋" w:hAnsi="仿宋" w:eastAsia="仿宋"/>
                <w:bCs/>
              </w:rPr>
            </w:pPr>
          </w:p>
        </w:tc>
        <w:tc>
          <w:tcPr>
            <w:tcW w:w="885" w:type="dxa"/>
            <w:vAlign w:val="center"/>
          </w:tcPr>
          <w:p>
            <w:pPr>
              <w:spacing w:line="300" w:lineRule="exact"/>
              <w:jc w:val="left"/>
              <w:rPr>
                <w:rFonts w:ascii="仿宋" w:hAnsi="仿宋" w:eastAsia="仿宋"/>
                <w:bCs/>
              </w:rPr>
            </w:pPr>
          </w:p>
        </w:tc>
        <w:tc>
          <w:tcPr>
            <w:tcW w:w="1212" w:type="dxa"/>
            <w:vAlign w:val="center"/>
          </w:tcPr>
          <w:p>
            <w:pPr>
              <w:spacing w:line="300" w:lineRule="exact"/>
              <w:jc w:val="left"/>
              <w:rPr>
                <w:rFonts w:ascii="仿宋" w:hAnsi="仿宋" w:eastAsia="仿宋"/>
                <w:bCs/>
              </w:rPr>
            </w:pPr>
          </w:p>
        </w:tc>
        <w:tc>
          <w:tcPr>
            <w:tcW w:w="885" w:type="dxa"/>
            <w:vAlign w:val="center"/>
          </w:tcPr>
          <w:p>
            <w:pPr>
              <w:spacing w:line="300" w:lineRule="exact"/>
              <w:jc w:val="left"/>
              <w:rPr>
                <w:rFonts w:ascii="仿宋" w:hAnsi="仿宋" w:eastAsia="仿宋"/>
                <w:bCs/>
              </w:rPr>
            </w:pPr>
          </w:p>
        </w:tc>
        <w:tc>
          <w:tcPr>
            <w:tcW w:w="885" w:type="dxa"/>
            <w:vAlign w:val="center"/>
          </w:tcPr>
          <w:p>
            <w:pPr>
              <w:spacing w:line="300" w:lineRule="exact"/>
              <w:jc w:val="right"/>
              <w:rPr>
                <w:rFonts w:ascii="仿宋" w:hAnsi="仿宋" w:eastAsia="仿宋"/>
                <w:bCs/>
              </w:rPr>
            </w:pPr>
          </w:p>
        </w:tc>
        <w:tc>
          <w:tcPr>
            <w:tcW w:w="906" w:type="dxa"/>
            <w:vAlign w:val="center"/>
          </w:tcPr>
          <w:p>
            <w:pPr>
              <w:spacing w:line="300" w:lineRule="exact"/>
              <w:jc w:val="right"/>
              <w:rPr>
                <w:rFonts w:ascii="仿宋" w:hAnsi="仿宋" w:eastAsia="仿宋"/>
                <w:bCs/>
              </w:rPr>
            </w:pPr>
          </w:p>
        </w:tc>
        <w:tc>
          <w:tcPr>
            <w:tcW w:w="885" w:type="dxa"/>
            <w:vAlign w:val="center"/>
          </w:tcPr>
          <w:p>
            <w:pPr>
              <w:spacing w:line="300" w:lineRule="exact"/>
              <w:jc w:val="right"/>
              <w:rPr>
                <w:rFonts w:ascii="仿宋" w:hAnsi="仿宋" w:eastAsia="仿宋" w:cs="方正书宋_GBK"/>
                <w:bCs/>
              </w:rPr>
            </w:pPr>
          </w:p>
        </w:tc>
        <w:tc>
          <w:tcPr>
            <w:tcW w:w="885" w:type="dxa"/>
            <w:vAlign w:val="center"/>
          </w:tcPr>
          <w:p>
            <w:pPr>
              <w:spacing w:line="300" w:lineRule="exact"/>
              <w:jc w:val="right"/>
              <w:rPr>
                <w:rFonts w:ascii="仿宋" w:hAnsi="仿宋" w:eastAsia="仿宋" w:cs="方正书宋_GBK"/>
                <w:bCs/>
              </w:rPr>
            </w:pPr>
          </w:p>
        </w:tc>
        <w:tc>
          <w:tcPr>
            <w:tcW w:w="885" w:type="dxa"/>
            <w:vAlign w:val="center"/>
          </w:tcPr>
          <w:p>
            <w:pPr>
              <w:spacing w:line="300" w:lineRule="exact"/>
              <w:ind w:right="105"/>
              <w:jc w:val="right"/>
              <w:rPr>
                <w:rFonts w:ascii="仿宋" w:hAnsi="仿宋" w:eastAsia="仿宋" w:cs="方正书宋_GBK"/>
                <w:bCs/>
              </w:rPr>
            </w:pPr>
          </w:p>
        </w:tc>
        <w:tc>
          <w:tcPr>
            <w:tcW w:w="885" w:type="dxa"/>
            <w:vAlign w:val="center"/>
          </w:tcPr>
          <w:p>
            <w:pPr>
              <w:spacing w:line="300" w:lineRule="exact"/>
              <w:jc w:val="right"/>
              <w:rPr>
                <w:rFonts w:ascii="仿宋" w:hAnsi="仿宋" w:eastAsia="仿宋" w:cs="方正书宋_GBK"/>
                <w:b/>
                <w:bCs/>
              </w:rPr>
            </w:pPr>
          </w:p>
        </w:tc>
        <w:tc>
          <w:tcPr>
            <w:tcW w:w="885" w:type="dxa"/>
            <w:vAlign w:val="center"/>
          </w:tcPr>
          <w:p>
            <w:pPr>
              <w:spacing w:line="300" w:lineRule="exact"/>
              <w:jc w:val="right"/>
              <w:rPr>
                <w:rFonts w:ascii="仿宋" w:hAnsi="仿宋" w:eastAsia="仿宋" w:cs="方正书宋_GBK"/>
                <w:b/>
                <w:bCs/>
              </w:rPr>
            </w:pPr>
          </w:p>
        </w:tc>
        <w:tc>
          <w:tcPr>
            <w:tcW w:w="885" w:type="dxa"/>
            <w:vAlign w:val="center"/>
          </w:tcPr>
          <w:p>
            <w:pPr>
              <w:spacing w:line="300" w:lineRule="exact"/>
              <w:jc w:val="right"/>
              <w:rPr>
                <w:rFonts w:ascii="仿宋" w:hAnsi="仿宋" w:eastAsia="仿宋" w:cs="方正书宋_GBK"/>
                <w:b/>
                <w:bCs/>
              </w:rPr>
            </w:pPr>
          </w:p>
        </w:tc>
        <w:tc>
          <w:tcPr>
            <w:tcW w:w="834" w:type="dxa"/>
            <w:vAlign w:val="center"/>
          </w:tcPr>
          <w:p>
            <w:pPr>
              <w:spacing w:line="300" w:lineRule="exact"/>
              <w:jc w:val="right"/>
              <w:rPr>
                <w:rFonts w:ascii="仿宋" w:hAnsi="仿宋" w:eastAsia="仿宋" w:cs="方正书宋_GBK"/>
                <w:b/>
                <w:bCs/>
              </w:rPr>
            </w:pPr>
          </w:p>
        </w:tc>
      </w:tr>
    </w:tbl>
    <w:p>
      <w:pPr>
        <w:spacing w:line="300" w:lineRule="exact"/>
        <w:jc w:val="left"/>
        <w:sectPr>
          <w:headerReference r:id="rId5" w:type="default"/>
          <w:footerReference r:id="rId6" w:type="default"/>
          <w:pgSz w:w="16839" w:h="11907" w:orient="landscape"/>
          <w:pgMar w:top="1797" w:right="1440" w:bottom="1797" w:left="1440" w:header="851" w:footer="992" w:gutter="0"/>
          <w:cols w:space="720" w:num="1"/>
          <w:docGrid w:linePitch="435" w:charSpace="0"/>
        </w:sectPr>
      </w:pPr>
    </w:p>
    <w:p>
      <w:pPr>
        <w:ind w:firstLine="630" w:firstLineChars="196"/>
        <w:jc w:val="left"/>
        <w:outlineLvl w:val="0"/>
        <w:rPr>
          <w:rFonts w:ascii="宋体" w:hAnsi="宋体" w:cs="宋体"/>
          <w:b/>
          <w:color w:val="111111"/>
          <w:kern w:val="0"/>
          <w:sz w:val="32"/>
          <w:szCs w:val="32"/>
        </w:rPr>
      </w:pPr>
      <w:r>
        <w:rPr>
          <w:rFonts w:hint="eastAsia" w:ascii="宋体" w:hAnsi="宋体" w:cs="宋体"/>
          <w:b/>
          <w:color w:val="111111"/>
          <w:kern w:val="0"/>
          <w:sz w:val="32"/>
          <w:szCs w:val="32"/>
        </w:rPr>
        <w:t>七、国有资产信息说明</w:t>
      </w:r>
    </w:p>
    <w:p>
      <w:pPr>
        <w:ind w:firstLine="640" w:firstLineChars="200"/>
        <w:jc w:val="left"/>
        <w:rPr>
          <w:rFonts w:ascii="仿宋" w:hAnsi="仿宋" w:eastAsia="仿宋"/>
          <w:sz w:val="32"/>
          <w:szCs w:val="32"/>
        </w:rPr>
      </w:pPr>
      <w:r>
        <w:rPr>
          <w:rFonts w:hint="eastAsia" w:ascii="仿宋" w:hAnsi="仿宋" w:eastAsia="仿宋"/>
          <w:sz w:val="32"/>
          <w:szCs w:val="32"/>
        </w:rPr>
        <w:t>涞源县金家井乡人民政府2018年末固定资产总值86.19万元（详见下表），2019年无拟购置情况。</w:t>
      </w:r>
    </w:p>
    <w:p>
      <w:pPr>
        <w:ind w:firstLine="640" w:firstLineChars="200"/>
        <w:jc w:val="left"/>
        <w:rPr>
          <w:rFonts w:ascii="仿宋" w:hAnsi="仿宋" w:eastAsia="仿宋"/>
          <w:sz w:val="32"/>
          <w:szCs w:val="32"/>
        </w:rPr>
      </w:pPr>
    </w:p>
    <w:p>
      <w:pPr>
        <w:ind w:firstLine="640" w:firstLineChars="200"/>
        <w:jc w:val="left"/>
        <w:rPr>
          <w:rFonts w:ascii="仿宋" w:hAnsi="仿宋" w:eastAsia="仿宋"/>
          <w:sz w:val="32"/>
          <w:szCs w:val="32"/>
        </w:rPr>
      </w:pPr>
    </w:p>
    <w:tbl>
      <w:tblPr>
        <w:tblStyle w:val="7"/>
        <w:tblW w:w="8804" w:type="dxa"/>
        <w:tblInd w:w="93" w:type="dxa"/>
        <w:tblLayout w:type="fixed"/>
        <w:tblCellMar>
          <w:top w:w="0" w:type="dxa"/>
          <w:left w:w="108" w:type="dxa"/>
          <w:bottom w:w="0" w:type="dxa"/>
          <w:right w:w="108" w:type="dxa"/>
        </w:tblCellMar>
      </w:tblPr>
      <w:tblGrid>
        <w:gridCol w:w="3811"/>
        <w:gridCol w:w="369"/>
        <w:gridCol w:w="1222"/>
        <w:gridCol w:w="858"/>
        <w:gridCol w:w="2500"/>
        <w:gridCol w:w="44"/>
      </w:tblGrid>
      <w:tr>
        <w:tblPrEx>
          <w:tblCellMar>
            <w:top w:w="0" w:type="dxa"/>
            <w:left w:w="108" w:type="dxa"/>
            <w:bottom w:w="0" w:type="dxa"/>
            <w:right w:w="108" w:type="dxa"/>
          </w:tblCellMar>
        </w:tblPrEx>
        <w:trPr>
          <w:trHeight w:val="675" w:hRule="atLeast"/>
        </w:trPr>
        <w:tc>
          <w:tcPr>
            <w:tcW w:w="8804" w:type="dxa"/>
            <w:gridSpan w:val="6"/>
            <w:tcBorders>
              <w:top w:val="nil"/>
              <w:left w:val="nil"/>
              <w:bottom w:val="nil"/>
              <w:right w:val="nil"/>
            </w:tcBorders>
            <w:vAlign w:val="center"/>
          </w:tcPr>
          <w:p>
            <w:pPr>
              <w:widowControl/>
              <w:jc w:val="center"/>
              <w:rPr>
                <w:rFonts w:ascii="宋体" w:hAnsi="宋体" w:cs="宋体"/>
                <w:color w:val="000000"/>
                <w:kern w:val="0"/>
                <w:sz w:val="28"/>
                <w:szCs w:val="28"/>
              </w:rPr>
            </w:pPr>
            <w:r>
              <w:rPr>
                <w:rFonts w:hint="eastAsia" w:ascii="仿宋" w:hAnsi="仿宋" w:eastAsia="仿宋"/>
                <w:sz w:val="32"/>
                <w:szCs w:val="32"/>
              </w:rPr>
              <w:t>涞源县金家井乡人民政府固定资产占用情况表</w:t>
            </w:r>
          </w:p>
        </w:tc>
      </w:tr>
      <w:tr>
        <w:tblPrEx>
          <w:tblCellMar>
            <w:top w:w="0" w:type="dxa"/>
            <w:left w:w="108" w:type="dxa"/>
            <w:bottom w:w="0" w:type="dxa"/>
            <w:right w:w="108" w:type="dxa"/>
          </w:tblCellMar>
        </w:tblPrEx>
        <w:trPr>
          <w:trHeight w:val="465" w:hRule="atLeast"/>
        </w:trPr>
        <w:tc>
          <w:tcPr>
            <w:tcW w:w="8804" w:type="dxa"/>
            <w:gridSpan w:val="6"/>
            <w:tcBorders>
              <w:top w:val="nil"/>
              <w:left w:val="nil"/>
              <w:bottom w:val="single" w:color="auto" w:sz="4" w:space="0"/>
              <w:right w:val="nil"/>
            </w:tcBorders>
            <w:vAlign w:val="center"/>
          </w:tcPr>
          <w:p>
            <w:pPr>
              <w:widowControl/>
              <w:jc w:val="center"/>
              <w:rPr>
                <w:rFonts w:ascii="仿宋_GB2312" w:hAnsi="宋体" w:eastAsia="仿宋_GB2312" w:cs="宋体"/>
                <w:color w:val="000000"/>
                <w:kern w:val="0"/>
                <w:sz w:val="32"/>
                <w:szCs w:val="32"/>
              </w:rPr>
            </w:pPr>
            <w:r>
              <w:rPr>
                <w:rFonts w:hint="eastAsia" w:ascii="仿宋_GB2312" w:hAnsi="宋体" w:eastAsia="仿宋_GB2312" w:cs="宋体"/>
                <w:bCs/>
                <w:color w:val="000000"/>
                <w:kern w:val="0"/>
                <w:sz w:val="32"/>
                <w:szCs w:val="32"/>
              </w:rPr>
              <w:t xml:space="preserve">                          截止时间：2018年12月31日</w:t>
            </w:r>
          </w:p>
        </w:tc>
      </w:tr>
      <w:tr>
        <w:tblPrEx>
          <w:tblCellMar>
            <w:top w:w="0" w:type="dxa"/>
            <w:left w:w="108" w:type="dxa"/>
            <w:bottom w:w="0" w:type="dxa"/>
            <w:right w:w="108" w:type="dxa"/>
          </w:tblCellMar>
        </w:tblPrEx>
        <w:trPr>
          <w:trHeight w:val="467"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项　　目</w:t>
            </w:r>
          </w:p>
        </w:tc>
        <w:tc>
          <w:tcPr>
            <w:tcW w:w="1591" w:type="dxa"/>
            <w:gridSpan w:val="2"/>
            <w:tcBorders>
              <w:top w:val="nil"/>
              <w:left w:val="nil"/>
              <w:bottom w:val="single" w:color="auto" w:sz="4" w:space="0"/>
              <w:right w:val="single" w:color="auto" w:sz="4" w:space="0"/>
            </w:tcBorders>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数量</w:t>
            </w:r>
          </w:p>
        </w:tc>
        <w:tc>
          <w:tcPr>
            <w:tcW w:w="3402" w:type="dxa"/>
            <w:gridSpan w:val="3"/>
            <w:tcBorders>
              <w:top w:val="nil"/>
              <w:left w:val="nil"/>
              <w:bottom w:val="single" w:color="auto" w:sz="4" w:space="0"/>
              <w:right w:val="single" w:color="auto" w:sz="4" w:space="0"/>
            </w:tcBorders>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价值（单位：万元）</w:t>
            </w:r>
          </w:p>
        </w:tc>
      </w:tr>
      <w:tr>
        <w:tblPrEx>
          <w:tblCellMar>
            <w:top w:w="0" w:type="dxa"/>
            <w:left w:w="108" w:type="dxa"/>
            <w:bottom w:w="0" w:type="dxa"/>
            <w:right w:w="108" w:type="dxa"/>
          </w:tblCellMar>
        </w:tblPrEx>
        <w:trPr>
          <w:trHeight w:val="417"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固定资产总额</w:t>
            </w:r>
          </w:p>
        </w:tc>
        <w:tc>
          <w:tcPr>
            <w:tcW w:w="159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402" w:type="dxa"/>
            <w:gridSpan w:val="3"/>
            <w:tcBorders>
              <w:top w:val="nil"/>
              <w:left w:val="nil"/>
              <w:bottom w:val="single" w:color="auto" w:sz="4" w:space="0"/>
              <w:right w:val="single" w:color="auto" w:sz="4" w:space="0"/>
            </w:tcBorders>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86.19</w:t>
            </w:r>
          </w:p>
        </w:tc>
      </w:tr>
      <w:tr>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1、房屋（平方米）</w:t>
            </w:r>
          </w:p>
        </w:tc>
        <w:tc>
          <w:tcPr>
            <w:tcW w:w="159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1000</w:t>
            </w:r>
          </w:p>
        </w:tc>
        <w:tc>
          <w:tcPr>
            <w:tcW w:w="3402"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43.02</w:t>
            </w:r>
          </w:p>
        </w:tc>
      </w:tr>
      <w:tr>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kern w:val="0"/>
                <w:sz w:val="24"/>
              </w:rPr>
            </w:pPr>
            <w:r>
              <w:rPr>
                <w:rFonts w:hint="eastAsia" w:ascii="宋体" w:hAnsi="宋体" w:cs="宋体"/>
                <w:color w:val="000000"/>
                <w:kern w:val="0"/>
                <w:sz w:val="24"/>
              </w:rPr>
              <w:t xml:space="preserve">   其中：办公用房（平方米）</w:t>
            </w:r>
          </w:p>
        </w:tc>
        <w:tc>
          <w:tcPr>
            <w:tcW w:w="1591" w:type="dxa"/>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kern w:val="0"/>
                <w:sz w:val="24"/>
              </w:rPr>
            </w:pPr>
            <w:r>
              <w:rPr>
                <w:rFonts w:hint="eastAsia" w:ascii="宋体" w:hAnsi="宋体" w:cs="宋体"/>
                <w:color w:val="000000"/>
                <w:kern w:val="0"/>
                <w:sz w:val="24"/>
              </w:rPr>
              <w:t>1000</w:t>
            </w:r>
          </w:p>
        </w:tc>
        <w:tc>
          <w:tcPr>
            <w:tcW w:w="3402" w:type="dxa"/>
            <w:gridSpan w:val="3"/>
            <w:tcBorders>
              <w:top w:val="single" w:color="auto" w:sz="4" w:space="0"/>
              <w:left w:val="nil"/>
              <w:bottom w:val="single" w:color="auto" w:sz="4" w:space="0"/>
              <w:right w:val="single" w:color="auto" w:sz="4" w:space="0"/>
            </w:tcBorders>
            <w:vAlign w:val="center"/>
          </w:tcPr>
          <w:p>
            <w:pPr>
              <w:jc w:val="center"/>
              <w:rPr>
                <w:rFonts w:ascii="宋体" w:hAnsi="宋体" w:cs="宋体"/>
                <w:color w:val="000000"/>
                <w:kern w:val="0"/>
                <w:sz w:val="24"/>
              </w:rPr>
            </w:pPr>
            <w:r>
              <w:rPr>
                <w:rFonts w:hint="eastAsia" w:ascii="宋体" w:hAnsi="宋体" w:cs="宋体"/>
                <w:color w:val="000000"/>
                <w:kern w:val="0"/>
                <w:sz w:val="24"/>
              </w:rPr>
              <w:t>43.02</w:t>
            </w:r>
          </w:p>
        </w:tc>
      </w:tr>
      <w:tr>
        <w:tblPrEx>
          <w:tblCellMar>
            <w:top w:w="0" w:type="dxa"/>
            <w:left w:w="108" w:type="dxa"/>
            <w:bottom w:w="0" w:type="dxa"/>
            <w:right w:w="108" w:type="dxa"/>
          </w:tblCellMar>
        </w:tblPrEx>
        <w:trPr>
          <w:trHeight w:val="466"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2、车辆（台、辆）</w:t>
            </w:r>
          </w:p>
        </w:tc>
        <w:tc>
          <w:tcPr>
            <w:tcW w:w="159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3402"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7.88</w:t>
            </w:r>
          </w:p>
        </w:tc>
      </w:tr>
      <w:tr>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3、单价在20万元以上的设备</w:t>
            </w:r>
          </w:p>
        </w:tc>
        <w:tc>
          <w:tcPr>
            <w:tcW w:w="159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402"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0.00</w:t>
            </w:r>
          </w:p>
        </w:tc>
      </w:tr>
      <w:tr>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kern w:val="0"/>
                <w:sz w:val="24"/>
              </w:rPr>
            </w:pPr>
            <w:r>
              <w:rPr>
                <w:rFonts w:hint="eastAsia" w:ascii="宋体" w:hAnsi="宋体" w:cs="宋体"/>
                <w:color w:val="000000"/>
                <w:kern w:val="0"/>
                <w:sz w:val="24"/>
              </w:rPr>
              <w:t xml:space="preserve">  4、其他固定资产</w:t>
            </w:r>
          </w:p>
        </w:tc>
        <w:tc>
          <w:tcPr>
            <w:tcW w:w="1591" w:type="dxa"/>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kern w:val="0"/>
                <w:sz w:val="24"/>
              </w:rPr>
            </w:pPr>
            <w:r>
              <w:rPr>
                <w:rFonts w:hint="eastAsia" w:ascii="宋体" w:hAnsi="宋体" w:cs="宋体"/>
                <w:color w:val="000000"/>
                <w:kern w:val="0"/>
                <w:sz w:val="24"/>
              </w:rPr>
              <w:t>—</w:t>
            </w:r>
          </w:p>
        </w:tc>
        <w:tc>
          <w:tcPr>
            <w:tcW w:w="3402" w:type="dxa"/>
            <w:gridSpan w:val="3"/>
            <w:tcBorders>
              <w:top w:val="single" w:color="auto" w:sz="4" w:space="0"/>
              <w:left w:val="nil"/>
              <w:bottom w:val="single" w:color="auto" w:sz="4" w:space="0"/>
              <w:right w:val="single" w:color="auto" w:sz="4" w:space="0"/>
            </w:tcBorders>
            <w:vAlign w:val="center"/>
          </w:tcPr>
          <w:p>
            <w:pPr>
              <w:jc w:val="center"/>
              <w:rPr>
                <w:rFonts w:ascii="宋体" w:hAnsi="宋体" w:cs="宋体"/>
                <w:color w:val="000000"/>
                <w:kern w:val="0"/>
                <w:sz w:val="24"/>
              </w:rPr>
            </w:pPr>
            <w:r>
              <w:rPr>
                <w:rFonts w:hint="eastAsia" w:ascii="宋体" w:hAnsi="宋体" w:cs="宋体"/>
                <w:color w:val="000000"/>
                <w:kern w:val="0"/>
                <w:sz w:val="24"/>
              </w:rPr>
              <w:t>35.29</w:t>
            </w:r>
          </w:p>
        </w:tc>
      </w:tr>
      <w:tr>
        <w:tblPrEx>
          <w:tblCellMar>
            <w:top w:w="0" w:type="dxa"/>
            <w:left w:w="108" w:type="dxa"/>
            <w:bottom w:w="0" w:type="dxa"/>
            <w:right w:w="108" w:type="dxa"/>
          </w:tblCellMar>
        </w:tblPrEx>
        <w:trPr>
          <w:gridAfter w:val="1"/>
          <w:wAfter w:w="44" w:type="dxa"/>
          <w:trHeight w:val="315" w:hRule="atLeast"/>
        </w:trPr>
        <w:tc>
          <w:tcPr>
            <w:tcW w:w="4180" w:type="dxa"/>
            <w:gridSpan w:val="2"/>
            <w:tcBorders>
              <w:top w:val="nil"/>
              <w:left w:val="nil"/>
              <w:bottom w:val="nil"/>
              <w:right w:val="nil"/>
            </w:tcBorders>
            <w:vAlign w:val="bottom"/>
          </w:tcPr>
          <w:p>
            <w:pPr>
              <w:widowControl/>
              <w:jc w:val="left"/>
              <w:rPr>
                <w:rFonts w:ascii="宋体" w:hAnsi="宋体" w:cs="Arial"/>
                <w:color w:val="000000"/>
                <w:kern w:val="0"/>
                <w:sz w:val="24"/>
              </w:rPr>
            </w:pPr>
          </w:p>
        </w:tc>
        <w:tc>
          <w:tcPr>
            <w:tcW w:w="2080"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2500" w:type="dxa"/>
            <w:tcBorders>
              <w:top w:val="nil"/>
              <w:left w:val="nil"/>
              <w:bottom w:val="nil"/>
              <w:right w:val="nil"/>
            </w:tcBorders>
            <w:vAlign w:val="bottom"/>
          </w:tcPr>
          <w:p>
            <w:pPr>
              <w:widowControl/>
              <w:jc w:val="center"/>
              <w:rPr>
                <w:rFonts w:ascii="宋体" w:hAnsi="宋体" w:cs="Arial"/>
                <w:color w:val="000000"/>
                <w:kern w:val="0"/>
                <w:sz w:val="24"/>
              </w:rPr>
            </w:pPr>
          </w:p>
        </w:tc>
      </w:tr>
    </w:tbl>
    <w:p>
      <w:pPr>
        <w:spacing w:line="500" w:lineRule="exact"/>
        <w:jc w:val="center"/>
        <w:outlineLvl w:val="0"/>
        <w:rPr>
          <w:rFonts w:ascii="黑体" w:hAnsi="黑体" w:eastAsia="黑体"/>
          <w:sz w:val="32"/>
          <w:szCs w:val="32"/>
        </w:rPr>
      </w:pPr>
      <w:r>
        <w:rPr>
          <w:rFonts w:hint="eastAsia" w:ascii="黑体" w:hAnsi="黑体" w:eastAsia="黑体"/>
          <w:sz w:val="32"/>
          <w:szCs w:val="32"/>
        </w:rPr>
        <w:br w:type="page"/>
      </w:r>
    </w:p>
    <w:p>
      <w:pPr>
        <w:spacing w:line="500" w:lineRule="exact"/>
        <w:outlineLvl w:val="0"/>
        <w:rPr>
          <w:rFonts w:ascii="黑体" w:hAnsi="黑体" w:eastAsia="黑体"/>
          <w:sz w:val="32"/>
          <w:szCs w:val="32"/>
        </w:rPr>
      </w:pPr>
      <w:r>
        <w:rPr>
          <w:rFonts w:hint="eastAsia" w:ascii="黑体" w:hAnsi="黑体" w:eastAsia="黑体"/>
          <w:sz w:val="32"/>
          <w:szCs w:val="32"/>
        </w:rPr>
        <w:t>八、名词解释</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1、财政拨款收入：</w:t>
      </w:r>
      <w:r>
        <w:rPr>
          <w:rFonts w:hint="eastAsia" w:ascii="仿宋_GB2312" w:hAnsi="仿宋" w:eastAsia="仿宋_GB2312"/>
          <w:sz w:val="32"/>
          <w:szCs w:val="32"/>
        </w:rPr>
        <w:t>指县级财政当年拨付的资金。</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2、其他收入：</w:t>
      </w:r>
      <w:r>
        <w:rPr>
          <w:rFonts w:hint="eastAsia" w:ascii="仿宋_GB2312" w:hAnsi="仿宋" w:eastAsia="仿宋_GB2312"/>
          <w:sz w:val="32"/>
          <w:szCs w:val="32"/>
        </w:rPr>
        <w:t>指除上述“财政拨款收入”、“事业收入”等以外的收入。</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3、基本支出：</w:t>
      </w:r>
      <w:r>
        <w:rPr>
          <w:rFonts w:hint="eastAsia" w:ascii="仿宋_GB2312" w:hAnsi="仿宋" w:eastAsia="仿宋_GB2312"/>
          <w:sz w:val="32"/>
          <w:szCs w:val="32"/>
        </w:rPr>
        <w:t>指为保障机构正常运转、完成日常工作任务而发生的人员支出和公用支出。</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4、项目支出：</w:t>
      </w:r>
      <w:r>
        <w:rPr>
          <w:rFonts w:hint="eastAsia" w:ascii="仿宋_GB2312" w:hAnsi="仿宋" w:eastAsia="仿宋_GB2312"/>
          <w:sz w:val="32"/>
          <w:szCs w:val="32"/>
        </w:rPr>
        <w:t>指在基本支出之外为完成特定行政任务和事业发展目标所发生的支出。</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5、“三公”经费：</w:t>
      </w:r>
      <w:r>
        <w:rPr>
          <w:rFonts w:hint="eastAsia" w:ascii="仿宋_GB2312" w:hAnsi="仿宋" w:eastAsia="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仿宋_GB2312" w:hAnsi="仿宋" w:eastAsia="仿宋_GB2312"/>
          <w:sz w:val="32"/>
          <w:szCs w:val="32"/>
        </w:rPr>
      </w:pPr>
      <w:r>
        <w:rPr>
          <w:rFonts w:hint="eastAsia" w:ascii="仿宋_GB2312" w:hAnsi="仿宋" w:eastAsia="仿宋_GB2312"/>
          <w:b/>
          <w:sz w:val="32"/>
          <w:szCs w:val="32"/>
        </w:rPr>
        <w:t>6、机关运行费：</w:t>
      </w:r>
      <w:r>
        <w:rPr>
          <w:rFonts w:hint="eastAsia" w:ascii="仿宋_GB2312" w:hAnsi="仿宋" w:eastAsia="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仿宋_GB2312" w:hAnsi="仿宋" w:eastAsia="仿宋_GB2312"/>
          <w:sz w:val="32"/>
          <w:szCs w:val="32"/>
        </w:rPr>
      </w:pPr>
      <w:r>
        <w:rPr>
          <w:rFonts w:hint="eastAsia" w:ascii="仿宋_GB2312" w:hAnsi="仿宋" w:eastAsia="仿宋_GB2312"/>
          <w:b/>
          <w:sz w:val="32"/>
          <w:szCs w:val="32"/>
        </w:rPr>
        <w:t>7、公务费：</w:t>
      </w:r>
      <w:r>
        <w:rPr>
          <w:rFonts w:hint="eastAsia" w:ascii="仿宋_GB2312" w:hAnsi="仿宋" w:eastAsia="仿宋_GB2312"/>
          <w:sz w:val="32"/>
          <w:szCs w:val="32"/>
        </w:rPr>
        <w:t>包括办公费、水电费、邮电费、取暖费、交通费、一般会议费和物业管理费之和。</w:t>
      </w:r>
    </w:p>
    <w:p>
      <w:pPr>
        <w:spacing w:line="500" w:lineRule="exact"/>
        <w:ind w:firstLine="627" w:firstLineChars="196"/>
        <w:jc w:val="center"/>
        <w:outlineLvl w:val="0"/>
        <w:rPr>
          <w:rFonts w:ascii="黑体" w:hAnsi="黑体" w:eastAsia="黑体"/>
          <w:sz w:val="32"/>
          <w:szCs w:val="32"/>
        </w:rPr>
      </w:pPr>
    </w:p>
    <w:p>
      <w:pPr>
        <w:spacing w:line="500" w:lineRule="exact"/>
        <w:outlineLvl w:val="0"/>
        <w:rPr>
          <w:rFonts w:ascii="黑体" w:hAnsi="黑体" w:eastAsia="黑体"/>
          <w:sz w:val="32"/>
          <w:szCs w:val="32"/>
        </w:rPr>
      </w:pPr>
      <w:r>
        <w:rPr>
          <w:rFonts w:hint="eastAsia" w:ascii="黑体" w:hAnsi="黑体" w:eastAsia="黑体"/>
          <w:sz w:val="32"/>
          <w:szCs w:val="32"/>
        </w:rPr>
        <w:t>九、其他需说明的事项</w:t>
      </w:r>
    </w:p>
    <w:p>
      <w:pPr>
        <w:spacing w:line="500" w:lineRule="exact"/>
        <w:ind w:firstLine="1264" w:firstLineChars="395"/>
        <w:jc w:val="left"/>
        <w:outlineLvl w:val="0"/>
        <w:rPr>
          <w:rFonts w:ascii="仿宋" w:hAnsi="仿宋" w:eastAsia="仿宋"/>
          <w:sz w:val="32"/>
          <w:szCs w:val="32"/>
        </w:rPr>
      </w:pPr>
    </w:p>
    <w:p>
      <w:pPr>
        <w:spacing w:line="500" w:lineRule="exact"/>
        <w:ind w:firstLine="640" w:firstLineChars="200"/>
        <w:jc w:val="left"/>
        <w:outlineLvl w:val="0"/>
        <w:rPr>
          <w:rFonts w:ascii="仿宋_GB2312" w:hAnsi="黑体" w:eastAsia="仿宋_GB2312"/>
          <w:sz w:val="32"/>
          <w:szCs w:val="32"/>
        </w:rPr>
      </w:pPr>
      <w:r>
        <w:rPr>
          <w:rFonts w:hint="eastAsia" w:ascii="仿宋_GB2312" w:hAnsi="仿宋" w:eastAsia="仿宋_GB2312"/>
          <w:sz w:val="32"/>
          <w:szCs w:val="32"/>
        </w:rPr>
        <w:t>无其他需说明的事项。</w:t>
      </w:r>
    </w:p>
    <w:p>
      <w:pPr>
        <w:outlineLvl w:val="0"/>
      </w:pPr>
    </w:p>
    <w:p>
      <w:pPr>
        <w:spacing w:line="500" w:lineRule="exact"/>
        <w:ind w:firstLine="640" w:firstLineChars="200"/>
        <w:jc w:val="left"/>
        <w:outlineLvl w:val="0"/>
        <w:rPr>
          <w:rFonts w:ascii="仿宋" w:hAnsi="仿宋" w:eastAsia="仿宋"/>
          <w:sz w:val="32"/>
          <w:szCs w:val="32"/>
        </w:rPr>
      </w:pPr>
    </w:p>
    <w:sectPr>
      <w:headerReference r:id="rId7" w:type="default"/>
      <w:pgSz w:w="16839" w:h="11907" w:orient="landscape"/>
      <w:pgMar w:top="1797" w:right="1440" w:bottom="1797"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宋体-方正超大字符集">
    <w:altName w:val="宋体"/>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BEEA1C"/>
    <w:multiLevelType w:val="singleLevel"/>
    <w:tmpl w:val="0ABEEA1C"/>
    <w:lvl w:ilvl="0" w:tentative="0">
      <w:start w:val="5"/>
      <w:numFmt w:val="chineseCounting"/>
      <w:suff w:val="nothing"/>
      <w:lvlText w:val="%1、"/>
      <w:lvlJc w:val="left"/>
      <w:rPr>
        <w:rFonts w:hint="eastAsia"/>
      </w:rPr>
    </w:lvl>
  </w:abstractNum>
  <w:abstractNum w:abstractNumId="1">
    <w:nsid w:val="12CA082D"/>
    <w:multiLevelType w:val="multilevel"/>
    <w:tmpl w:val="12CA082D"/>
    <w:lvl w:ilvl="0" w:tentative="0">
      <w:start w:val="1"/>
      <w:numFmt w:val="decimal"/>
      <w:lvlText w:val="%1、"/>
      <w:lvlJc w:val="left"/>
      <w:pPr>
        <w:ind w:left="1282" w:hanging="72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hMjQxNjA1ZTMyNWY5ZjcwYTQ3MTg2YjZlNDMzZjIifQ=="/>
  </w:docVars>
  <w:rsids>
    <w:rsidRoot w:val="005D0A9C"/>
    <w:rsid w:val="0000735D"/>
    <w:rsid w:val="00011237"/>
    <w:rsid w:val="00011C11"/>
    <w:rsid w:val="00023F80"/>
    <w:rsid w:val="000327ED"/>
    <w:rsid w:val="00033D4E"/>
    <w:rsid w:val="000622F9"/>
    <w:rsid w:val="000660B8"/>
    <w:rsid w:val="000B49B3"/>
    <w:rsid w:val="000D0E10"/>
    <w:rsid w:val="000D1E0A"/>
    <w:rsid w:val="00124990"/>
    <w:rsid w:val="0013003F"/>
    <w:rsid w:val="001332CF"/>
    <w:rsid w:val="00152C32"/>
    <w:rsid w:val="00195AE7"/>
    <w:rsid w:val="001C526B"/>
    <w:rsid w:val="001D341A"/>
    <w:rsid w:val="00226B8F"/>
    <w:rsid w:val="0023419D"/>
    <w:rsid w:val="0023516D"/>
    <w:rsid w:val="00237C0B"/>
    <w:rsid w:val="002502B7"/>
    <w:rsid w:val="00266AF5"/>
    <w:rsid w:val="00276580"/>
    <w:rsid w:val="00292B4C"/>
    <w:rsid w:val="002A049C"/>
    <w:rsid w:val="002C68CC"/>
    <w:rsid w:val="002C762D"/>
    <w:rsid w:val="002D7814"/>
    <w:rsid w:val="002F1B25"/>
    <w:rsid w:val="0030785A"/>
    <w:rsid w:val="00315E6B"/>
    <w:rsid w:val="00325813"/>
    <w:rsid w:val="00362547"/>
    <w:rsid w:val="00366362"/>
    <w:rsid w:val="003738B4"/>
    <w:rsid w:val="00381E66"/>
    <w:rsid w:val="00385466"/>
    <w:rsid w:val="003901E0"/>
    <w:rsid w:val="00397EC5"/>
    <w:rsid w:val="003A1976"/>
    <w:rsid w:val="003D2447"/>
    <w:rsid w:val="00405F8A"/>
    <w:rsid w:val="00434854"/>
    <w:rsid w:val="00455473"/>
    <w:rsid w:val="00464318"/>
    <w:rsid w:val="004703AA"/>
    <w:rsid w:val="004717A1"/>
    <w:rsid w:val="00480FE4"/>
    <w:rsid w:val="004914B2"/>
    <w:rsid w:val="004A64AD"/>
    <w:rsid w:val="004C1BEC"/>
    <w:rsid w:val="004E262F"/>
    <w:rsid w:val="004F2E55"/>
    <w:rsid w:val="004F306A"/>
    <w:rsid w:val="004F64C7"/>
    <w:rsid w:val="00530FDC"/>
    <w:rsid w:val="0053582B"/>
    <w:rsid w:val="005415FF"/>
    <w:rsid w:val="005453D3"/>
    <w:rsid w:val="005615BF"/>
    <w:rsid w:val="005668B4"/>
    <w:rsid w:val="00570E34"/>
    <w:rsid w:val="005766F4"/>
    <w:rsid w:val="00587273"/>
    <w:rsid w:val="005B0EA8"/>
    <w:rsid w:val="005B1B35"/>
    <w:rsid w:val="005B29E0"/>
    <w:rsid w:val="005B6ECB"/>
    <w:rsid w:val="005C5197"/>
    <w:rsid w:val="005C6480"/>
    <w:rsid w:val="005D007A"/>
    <w:rsid w:val="005D0A9C"/>
    <w:rsid w:val="005D6CD9"/>
    <w:rsid w:val="005E0D54"/>
    <w:rsid w:val="005E313C"/>
    <w:rsid w:val="005E5378"/>
    <w:rsid w:val="00604E75"/>
    <w:rsid w:val="00626041"/>
    <w:rsid w:val="00627E52"/>
    <w:rsid w:val="00634C16"/>
    <w:rsid w:val="00640794"/>
    <w:rsid w:val="00682F22"/>
    <w:rsid w:val="00685C61"/>
    <w:rsid w:val="00694707"/>
    <w:rsid w:val="006A5A10"/>
    <w:rsid w:val="006A773B"/>
    <w:rsid w:val="006B280C"/>
    <w:rsid w:val="006C71B4"/>
    <w:rsid w:val="006D19AD"/>
    <w:rsid w:val="006D56E4"/>
    <w:rsid w:val="006F1380"/>
    <w:rsid w:val="00705776"/>
    <w:rsid w:val="00722053"/>
    <w:rsid w:val="007332CC"/>
    <w:rsid w:val="00742DEE"/>
    <w:rsid w:val="007665C7"/>
    <w:rsid w:val="0077326A"/>
    <w:rsid w:val="007772CE"/>
    <w:rsid w:val="007938A5"/>
    <w:rsid w:val="007B2470"/>
    <w:rsid w:val="007B627D"/>
    <w:rsid w:val="007C74DD"/>
    <w:rsid w:val="007D3257"/>
    <w:rsid w:val="007E74B1"/>
    <w:rsid w:val="00814DB6"/>
    <w:rsid w:val="0082151F"/>
    <w:rsid w:val="0084510D"/>
    <w:rsid w:val="00856560"/>
    <w:rsid w:val="00863803"/>
    <w:rsid w:val="008945E5"/>
    <w:rsid w:val="008A6A29"/>
    <w:rsid w:val="008D2910"/>
    <w:rsid w:val="008F67E3"/>
    <w:rsid w:val="009156D1"/>
    <w:rsid w:val="00930270"/>
    <w:rsid w:val="009535AE"/>
    <w:rsid w:val="00955193"/>
    <w:rsid w:val="0095593E"/>
    <w:rsid w:val="00957900"/>
    <w:rsid w:val="00965984"/>
    <w:rsid w:val="009A54CF"/>
    <w:rsid w:val="009A6982"/>
    <w:rsid w:val="009D1C64"/>
    <w:rsid w:val="009E6F7E"/>
    <w:rsid w:val="009F17F0"/>
    <w:rsid w:val="00A2424E"/>
    <w:rsid w:val="00A31456"/>
    <w:rsid w:val="00A42505"/>
    <w:rsid w:val="00A87D8A"/>
    <w:rsid w:val="00AA384D"/>
    <w:rsid w:val="00AB1066"/>
    <w:rsid w:val="00AB2CC3"/>
    <w:rsid w:val="00AC1D4E"/>
    <w:rsid w:val="00AC7DAA"/>
    <w:rsid w:val="00AD5CDD"/>
    <w:rsid w:val="00AD6D50"/>
    <w:rsid w:val="00B41C82"/>
    <w:rsid w:val="00B41E2A"/>
    <w:rsid w:val="00B42ACF"/>
    <w:rsid w:val="00B4346B"/>
    <w:rsid w:val="00B46106"/>
    <w:rsid w:val="00B547CF"/>
    <w:rsid w:val="00B7319F"/>
    <w:rsid w:val="00B77ED8"/>
    <w:rsid w:val="00B82BED"/>
    <w:rsid w:val="00B853D1"/>
    <w:rsid w:val="00B920AA"/>
    <w:rsid w:val="00BA0390"/>
    <w:rsid w:val="00BB6924"/>
    <w:rsid w:val="00BC1EC1"/>
    <w:rsid w:val="00BD58AE"/>
    <w:rsid w:val="00C05974"/>
    <w:rsid w:val="00C27F27"/>
    <w:rsid w:val="00C30365"/>
    <w:rsid w:val="00C35610"/>
    <w:rsid w:val="00C412E9"/>
    <w:rsid w:val="00C5147B"/>
    <w:rsid w:val="00C92D99"/>
    <w:rsid w:val="00CA6E04"/>
    <w:rsid w:val="00CC7A1B"/>
    <w:rsid w:val="00CD17BF"/>
    <w:rsid w:val="00D3241A"/>
    <w:rsid w:val="00D35E67"/>
    <w:rsid w:val="00D4305E"/>
    <w:rsid w:val="00D63D66"/>
    <w:rsid w:val="00D72C1A"/>
    <w:rsid w:val="00D90966"/>
    <w:rsid w:val="00DB273E"/>
    <w:rsid w:val="00DB6A4F"/>
    <w:rsid w:val="00DE1E7A"/>
    <w:rsid w:val="00DE77ED"/>
    <w:rsid w:val="00E012E2"/>
    <w:rsid w:val="00E27821"/>
    <w:rsid w:val="00E42928"/>
    <w:rsid w:val="00E5484A"/>
    <w:rsid w:val="00E961B7"/>
    <w:rsid w:val="00EC214F"/>
    <w:rsid w:val="00EC41F7"/>
    <w:rsid w:val="00EF2F65"/>
    <w:rsid w:val="00F16E9B"/>
    <w:rsid w:val="00F208B5"/>
    <w:rsid w:val="00F40B21"/>
    <w:rsid w:val="00F511CE"/>
    <w:rsid w:val="00F64718"/>
    <w:rsid w:val="00F65CF2"/>
    <w:rsid w:val="00F66E86"/>
    <w:rsid w:val="00F86C02"/>
    <w:rsid w:val="00FB7A3D"/>
    <w:rsid w:val="00FC0C46"/>
    <w:rsid w:val="00FD5B78"/>
    <w:rsid w:val="0E071205"/>
    <w:rsid w:val="16EB7C64"/>
    <w:rsid w:val="17A20A2C"/>
    <w:rsid w:val="1A146B8D"/>
    <w:rsid w:val="1A4C7963"/>
    <w:rsid w:val="1AEB5859"/>
    <w:rsid w:val="23484823"/>
    <w:rsid w:val="2F0865F0"/>
    <w:rsid w:val="37D1175A"/>
    <w:rsid w:val="412F6AFF"/>
    <w:rsid w:val="4303280C"/>
    <w:rsid w:val="4D797796"/>
    <w:rsid w:val="5AB70C58"/>
    <w:rsid w:val="5E4A49A8"/>
    <w:rsid w:val="5EC10EA5"/>
    <w:rsid w:val="6A8C0236"/>
    <w:rsid w:val="6CC37623"/>
    <w:rsid w:val="6DB6078F"/>
    <w:rsid w:val="6E261A5D"/>
    <w:rsid w:val="75E13A1F"/>
    <w:rsid w:val="766B1A78"/>
    <w:rsid w:val="79CA052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alloon Text"/>
    <w:basedOn w:val="1"/>
    <w:link w:val="16"/>
    <w:qFormat/>
    <w:uiPriority w:val="0"/>
    <w:rPr>
      <w:sz w:val="18"/>
      <w:szCs w:val="18"/>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toc 1"/>
    <w:basedOn w:val="1"/>
    <w:next w:val="1"/>
    <w:unhideWhenUsed/>
    <w:qFormat/>
    <w:uiPriority w:val="39"/>
    <w:rPr>
      <w:rFonts w:ascii="Calibri" w:hAnsi="Calibri"/>
      <w:szCs w:val="22"/>
    </w:rPr>
  </w:style>
  <w:style w:type="paragraph" w:styleId="6">
    <w:name w:val="footnote text"/>
    <w:basedOn w:val="1"/>
    <w:semiHidden/>
    <w:qFormat/>
    <w:uiPriority w:val="0"/>
    <w:pPr>
      <w:snapToGrid w:val="0"/>
      <w:jc w:val="left"/>
    </w:pPr>
    <w:rPr>
      <w:sz w:val="18"/>
      <w:szCs w:val="18"/>
    </w:rPr>
  </w:style>
  <w:style w:type="character" w:styleId="9">
    <w:name w:val="page number"/>
    <w:basedOn w:val="8"/>
    <w:unhideWhenUsed/>
    <w:qFormat/>
    <w:uiPriority w:val="99"/>
  </w:style>
  <w:style w:type="character" w:styleId="10">
    <w:name w:val="Hyperlink"/>
    <w:unhideWhenUsed/>
    <w:qFormat/>
    <w:uiPriority w:val="99"/>
    <w:rPr>
      <w:color w:val="0000FF"/>
      <w:u w:val="single"/>
    </w:rPr>
  </w:style>
  <w:style w:type="character" w:styleId="11">
    <w:name w:val="footnote reference"/>
    <w:basedOn w:val="8"/>
    <w:semiHidden/>
    <w:qFormat/>
    <w:uiPriority w:val="0"/>
    <w:rPr>
      <w:vertAlign w:val="superscript"/>
    </w:rPr>
  </w:style>
  <w:style w:type="character" w:customStyle="1" w:styleId="12">
    <w:name w:val="页脚 Char2"/>
    <w:link w:val="3"/>
    <w:qFormat/>
    <w:uiPriority w:val="0"/>
    <w:rPr>
      <w:rFonts w:eastAsia="宋体"/>
      <w:kern w:val="2"/>
      <w:sz w:val="18"/>
      <w:szCs w:val="18"/>
      <w:lang w:val="en-US" w:eastAsia="zh-CN" w:bidi="ar-SA"/>
    </w:rPr>
  </w:style>
  <w:style w:type="character" w:customStyle="1" w:styleId="13">
    <w:name w:val="页眉 Char2"/>
    <w:link w:val="4"/>
    <w:qFormat/>
    <w:uiPriority w:val="0"/>
    <w:rPr>
      <w:rFonts w:eastAsia="宋体"/>
      <w:kern w:val="2"/>
      <w:sz w:val="18"/>
      <w:szCs w:val="18"/>
      <w:lang w:val="en-US" w:eastAsia="zh-CN" w:bidi="ar-SA"/>
    </w:rPr>
  </w:style>
  <w:style w:type="character" w:customStyle="1" w:styleId="14">
    <w:name w:val="页眉 Char"/>
    <w:semiHidden/>
    <w:qFormat/>
    <w:uiPriority w:val="99"/>
    <w:rPr>
      <w:kern w:val="2"/>
      <w:sz w:val="18"/>
      <w:szCs w:val="18"/>
    </w:rPr>
  </w:style>
  <w:style w:type="character" w:customStyle="1" w:styleId="15">
    <w:name w:val="页脚 Char"/>
    <w:qFormat/>
    <w:uiPriority w:val="99"/>
    <w:rPr>
      <w:kern w:val="2"/>
      <w:sz w:val="18"/>
      <w:szCs w:val="18"/>
    </w:rPr>
  </w:style>
  <w:style w:type="character" w:customStyle="1" w:styleId="16">
    <w:name w:val="批注框文本 Char"/>
    <w:link w:val="2"/>
    <w:qFormat/>
    <w:uiPriority w:val="0"/>
    <w:rPr>
      <w:kern w:val="2"/>
      <w:sz w:val="18"/>
      <w:szCs w:val="18"/>
    </w:rPr>
  </w:style>
  <w:style w:type="character" w:customStyle="1" w:styleId="17">
    <w:name w:val="页脚 Char1"/>
    <w:qFormat/>
    <w:uiPriority w:val="0"/>
    <w:rPr>
      <w:rFonts w:eastAsia="宋体"/>
      <w:kern w:val="2"/>
      <w:sz w:val="18"/>
      <w:szCs w:val="18"/>
      <w:lang w:val="en-US" w:eastAsia="zh-CN" w:bidi="ar-SA"/>
    </w:rPr>
  </w:style>
  <w:style w:type="character" w:customStyle="1" w:styleId="18">
    <w:name w:val="页眉 Char1"/>
    <w:qFormat/>
    <w:uiPriority w:val="0"/>
    <w:rPr>
      <w:rFonts w:eastAsia="宋体"/>
      <w:kern w:val="2"/>
      <w:sz w:val="18"/>
      <w:szCs w:val="18"/>
      <w:lang w:val="en-US" w:eastAsia="zh-CN" w:bidi="ar-SA"/>
    </w:rPr>
  </w:style>
  <w:style w:type="paragraph" w:customStyle="1" w:styleId="1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1B7BC2-4B60-41FA-A8AD-D9A303CC388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29</Pages>
  <Words>11413</Words>
  <Characters>16075</Characters>
  <Lines>136</Lines>
  <Paragraphs>38</Paragraphs>
  <TotalTime>0</TotalTime>
  <ScaleCrop>false</ScaleCrop>
  <LinksUpToDate>false</LinksUpToDate>
  <CharactersWithSpaces>16313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2021-05-24T09:10:00Z</dcterms:created>
  <dc:creator>john</dc:creator>
  <cp:lastModifiedBy>dell</cp:lastModifiedBy>
  <dcterms:modified xsi:type="dcterms:W3CDTF">2025-02-26T02:02:22Z</dcterms:modified>
  <dc:title>涞源县中国共产党涞源县委员会</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AE8D3D500A324CABACBC5BC00F854538_13</vt:lpwstr>
  </property>
</Properties>
</file>