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44"/>
          <w:szCs w:val="44"/>
        </w:rPr>
      </w:pPr>
      <w:r>
        <w:rPr>
          <w:rFonts w:hint="eastAsia" w:ascii="黑体" w:hAnsi="黑体" w:eastAsia="黑体" w:cs="宋体-方正超大字符集"/>
          <w:b/>
          <w:bCs/>
          <w:sz w:val="44"/>
          <w:szCs w:val="44"/>
        </w:rPr>
        <w:t>部门预算信息公开目录</w:t>
      </w:r>
    </w:p>
    <w:p>
      <w:pPr>
        <w:rPr>
          <w:rFonts w:ascii="仿宋" w:hAnsi="仿宋" w:eastAsia="仿宋" w:cs="仿宋_GB2312"/>
          <w:b/>
          <w:sz w:val="28"/>
          <w:szCs w:val="28"/>
        </w:rPr>
      </w:pPr>
    </w:p>
    <w:p>
      <w:pPr>
        <w:rPr>
          <w:rFonts w:ascii="仿宋" w:hAnsi="仿宋" w:eastAsia="仿宋" w:cs="仿宋_GB2312"/>
          <w:b/>
          <w:sz w:val="28"/>
          <w:szCs w:val="28"/>
        </w:rPr>
      </w:pPr>
      <w:r>
        <w:rPr>
          <w:rFonts w:hint="eastAsia" w:ascii="仿宋" w:hAnsi="仿宋" w:eastAsia="仿宋" w:cs="仿宋_GB2312"/>
          <w:b/>
          <w:sz w:val="28"/>
          <w:szCs w:val="28"/>
        </w:rPr>
        <w:t>部门预算公开表</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7</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9</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11</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13</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15</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15</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16</w:t>
      </w:r>
    </w:p>
    <w:p/>
    <w:p/>
    <w:p/>
    <w:p/>
    <w:p/>
    <w:p>
      <w:pPr>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17</w:t>
      </w:r>
    </w:p>
    <w:p>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2</w:t>
      </w:r>
      <w:r>
        <w:rPr>
          <w:rFonts w:hint="eastAsia" w:ascii="仿宋" w:hAnsi="仿宋" w:eastAsia="仿宋" w:cs="仿宋_GB2312"/>
          <w:sz w:val="28"/>
          <w:szCs w:val="28"/>
          <w:lang w:val="en-US" w:eastAsia="zh-CN"/>
        </w:rPr>
        <w:t>1</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22</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22</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23</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32</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33</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rPr>
        <w:t>34</w:t>
      </w:r>
    </w:p>
    <w:p>
      <w:pPr>
        <w:ind w:firstLine="420" w:firstLineChars="150"/>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35</w:t>
      </w:r>
    </w:p>
    <w:p>
      <w:pPr>
        <w:jc w:val="center"/>
        <w:rPr>
          <w:rFonts w:ascii="宋体" w:hAnsi="宋体"/>
          <w:b/>
          <w:sz w:val="44"/>
        </w:rPr>
      </w:pPr>
    </w:p>
    <w:p/>
    <w:p/>
    <w:p/>
    <w:p/>
    <w:p/>
    <w:p/>
    <w:tbl>
      <w:tblPr>
        <w:tblStyle w:val="5"/>
        <w:tblW w:w="12744" w:type="dxa"/>
        <w:jc w:val="center"/>
        <w:tblLayout w:type="autofit"/>
        <w:tblCellMar>
          <w:top w:w="0" w:type="dxa"/>
          <w:left w:w="108" w:type="dxa"/>
          <w:bottom w:w="0" w:type="dxa"/>
          <w:right w:w="108" w:type="dxa"/>
        </w:tblCellMar>
      </w:tblPr>
      <w:tblGrid>
        <w:gridCol w:w="749"/>
        <w:gridCol w:w="4198"/>
        <w:gridCol w:w="1799"/>
        <w:gridCol w:w="4199"/>
        <w:gridCol w:w="1799"/>
      </w:tblGrid>
      <w:tr>
        <w:tblPrEx>
          <w:tblCellMar>
            <w:top w:w="0" w:type="dxa"/>
            <w:left w:w="108" w:type="dxa"/>
            <w:bottom w:w="0" w:type="dxa"/>
            <w:right w:w="108" w:type="dxa"/>
          </w:tblCellMar>
        </w:tblPrEx>
        <w:trPr>
          <w:trHeight w:val="750" w:hRule="atLeast"/>
          <w:jc w:val="center"/>
        </w:trPr>
        <w:tc>
          <w:tcPr>
            <w:tcW w:w="12750" w:type="dxa"/>
            <w:gridSpan w:val="5"/>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部门预算收支总表</w:t>
            </w:r>
          </w:p>
        </w:tc>
      </w:tr>
      <w:tr>
        <w:tblPrEx>
          <w:tblCellMar>
            <w:top w:w="0" w:type="dxa"/>
            <w:left w:w="108" w:type="dxa"/>
            <w:bottom w:w="0" w:type="dxa"/>
            <w:right w:w="108" w:type="dxa"/>
          </w:tblCellMar>
        </w:tblPrEx>
        <w:trPr>
          <w:trHeight w:val="300" w:hRule="atLeast"/>
          <w:jc w:val="center"/>
        </w:trPr>
        <w:tc>
          <w:tcPr>
            <w:tcW w:w="6750" w:type="dxa"/>
            <w:gridSpan w:val="3"/>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420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80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203.84</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二、上级拨款收入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43.77</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19.91</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42.41</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结余分配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r>
    </w:tbl>
    <w:p/>
    <w:p/>
    <w:p/>
    <w:p/>
    <w:p/>
    <w:p/>
    <w:p/>
    <w:p/>
    <w:p/>
    <w:p/>
    <w:p/>
    <w:p/>
    <w:p/>
    <w:p/>
    <w:p/>
    <w:p/>
    <w:p/>
    <w:tbl>
      <w:tblPr>
        <w:tblStyle w:val="5"/>
        <w:tblW w:w="13945" w:type="dxa"/>
        <w:tblInd w:w="96" w:type="dxa"/>
        <w:tblLayout w:type="autofit"/>
        <w:tblCellMar>
          <w:top w:w="0" w:type="dxa"/>
          <w:left w:w="108" w:type="dxa"/>
          <w:bottom w:w="0" w:type="dxa"/>
          <w:right w:w="108" w:type="dxa"/>
        </w:tblCellMar>
      </w:tblPr>
      <w:tblGrid>
        <w:gridCol w:w="740"/>
        <w:gridCol w:w="1481"/>
        <w:gridCol w:w="3096"/>
        <w:gridCol w:w="1187"/>
        <w:gridCol w:w="1187"/>
        <w:gridCol w:w="1182"/>
        <w:gridCol w:w="576"/>
        <w:gridCol w:w="1765"/>
        <w:gridCol w:w="774"/>
        <w:gridCol w:w="1182"/>
        <w:gridCol w:w="775"/>
      </w:tblGrid>
      <w:tr>
        <w:tblPrEx>
          <w:tblCellMar>
            <w:top w:w="0" w:type="dxa"/>
            <w:left w:w="108" w:type="dxa"/>
            <w:bottom w:w="0" w:type="dxa"/>
            <w:right w:w="108" w:type="dxa"/>
          </w:tblCellMar>
        </w:tblPrEx>
        <w:trPr>
          <w:trHeight w:val="750" w:hRule="atLeast"/>
        </w:trPr>
        <w:tc>
          <w:tcPr>
            <w:tcW w:w="13950" w:type="dxa"/>
            <w:gridSpan w:val="11"/>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部门预算收入总表</w:t>
            </w:r>
          </w:p>
        </w:tc>
      </w:tr>
      <w:tr>
        <w:tblPrEx>
          <w:tblCellMar>
            <w:top w:w="0" w:type="dxa"/>
            <w:left w:w="108" w:type="dxa"/>
            <w:bottom w:w="0" w:type="dxa"/>
            <w:right w:w="108" w:type="dxa"/>
          </w:tblCellMar>
        </w:tblPrEx>
        <w:trPr>
          <w:trHeight w:val="300" w:hRule="atLeast"/>
        </w:trPr>
        <w:tc>
          <w:tcPr>
            <w:tcW w:w="9390" w:type="dxa"/>
            <w:gridSpan w:val="7"/>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2580" w:type="dxa"/>
            <w:gridSpan w:val="2"/>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980" w:type="dxa"/>
            <w:gridSpan w:val="2"/>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本年收入合计</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财政拨款收入</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上级补助收入</w:t>
            </w: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事业收入</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经营收入</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附属单位上缴收入</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其他收入</w:t>
            </w:r>
          </w:p>
        </w:tc>
      </w:tr>
      <w:tr>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小计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其中：财政专户收入</w:t>
            </w: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科技转化与推广服务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
    <w:p/>
    <w:p/>
    <w:p/>
    <w:p/>
    <w:p/>
    <w:p/>
    <w:p/>
    <w:tbl>
      <w:tblPr>
        <w:tblStyle w:val="5"/>
        <w:tblW w:w="12672" w:type="dxa"/>
        <w:jc w:val="center"/>
        <w:tblLayout w:type="autofit"/>
        <w:tblCellMar>
          <w:top w:w="0" w:type="dxa"/>
          <w:left w:w="108" w:type="dxa"/>
          <w:bottom w:w="0" w:type="dxa"/>
          <w:right w:w="108" w:type="dxa"/>
        </w:tblCellMar>
      </w:tblPr>
      <w:tblGrid>
        <w:gridCol w:w="741"/>
        <w:gridCol w:w="1705"/>
        <w:gridCol w:w="3096"/>
        <w:gridCol w:w="1484"/>
        <w:gridCol w:w="1484"/>
        <w:gridCol w:w="778"/>
        <w:gridCol w:w="1128"/>
        <w:gridCol w:w="776"/>
        <w:gridCol w:w="1480"/>
      </w:tblGrid>
      <w:tr>
        <w:tblPrEx>
          <w:tblCellMar>
            <w:top w:w="0" w:type="dxa"/>
            <w:left w:w="108" w:type="dxa"/>
            <w:bottom w:w="0" w:type="dxa"/>
            <w:right w:w="108" w:type="dxa"/>
          </w:tblCellMar>
        </w:tblPrEx>
        <w:trPr>
          <w:trHeight w:val="750" w:hRule="atLeast"/>
          <w:jc w:val="center"/>
        </w:trPr>
        <w:tc>
          <w:tcPr>
            <w:tcW w:w="12675" w:type="dxa"/>
            <w:gridSpan w:val="9"/>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部门预算支出总表</w:t>
            </w:r>
          </w:p>
        </w:tc>
      </w:tr>
      <w:tr>
        <w:tblPrEx>
          <w:tblCellMar>
            <w:top w:w="0" w:type="dxa"/>
            <w:left w:w="108" w:type="dxa"/>
            <w:bottom w:w="0" w:type="dxa"/>
            <w:right w:w="108" w:type="dxa"/>
          </w:tblCellMar>
        </w:tblPrEx>
        <w:trPr>
          <w:trHeight w:val="300" w:hRule="atLeast"/>
          <w:jc w:val="center"/>
        </w:trPr>
        <w:tc>
          <w:tcPr>
            <w:tcW w:w="8475" w:type="dxa"/>
            <w:gridSpan w:val="5"/>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1920" w:type="dxa"/>
            <w:gridSpan w:val="2"/>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280" w:type="dxa"/>
            <w:gridSpan w:val="2"/>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本年支出合计</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上缴上级支出</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经营支出</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对附属单位补助支出</w:t>
            </w:r>
          </w:p>
        </w:tc>
      </w:tr>
      <w:tr>
        <w:tblPrEx>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281.44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46.50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科技转化与推广服务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
    <w:p/>
    <w:p/>
    <w:p/>
    <w:p/>
    <w:p/>
    <w:p/>
    <w:p/>
    <w:tbl>
      <w:tblPr>
        <w:tblStyle w:val="5"/>
        <w:tblW w:w="13452" w:type="dxa"/>
        <w:jc w:val="center"/>
        <w:tblLayout w:type="autofit"/>
        <w:tblCellMar>
          <w:top w:w="0" w:type="dxa"/>
          <w:left w:w="108" w:type="dxa"/>
          <w:bottom w:w="0" w:type="dxa"/>
          <w:right w:w="108" w:type="dxa"/>
        </w:tblCellMar>
      </w:tblPr>
      <w:tblGrid>
        <w:gridCol w:w="744"/>
        <w:gridCol w:w="2843"/>
        <w:gridCol w:w="756"/>
        <w:gridCol w:w="3887"/>
        <w:gridCol w:w="756"/>
        <w:gridCol w:w="1490"/>
        <w:gridCol w:w="1488"/>
        <w:gridCol w:w="1488"/>
      </w:tblGrid>
      <w:tr>
        <w:tblPrEx>
          <w:tblCellMar>
            <w:top w:w="0" w:type="dxa"/>
            <w:left w:w="108" w:type="dxa"/>
            <w:bottom w:w="0" w:type="dxa"/>
            <w:right w:w="108" w:type="dxa"/>
          </w:tblCellMar>
        </w:tblPrEx>
        <w:trPr>
          <w:trHeight w:val="750" w:hRule="atLeast"/>
          <w:jc w:val="center"/>
        </w:trPr>
        <w:tc>
          <w:tcPr>
            <w:tcW w:w="13458" w:type="dxa"/>
            <w:gridSpan w:val="8"/>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部门预算财政拨款收支总表</w:t>
            </w:r>
          </w:p>
        </w:tc>
      </w:tr>
      <w:tr>
        <w:tblPrEx>
          <w:tblCellMar>
            <w:top w:w="0" w:type="dxa"/>
            <w:left w:w="108" w:type="dxa"/>
            <w:bottom w:w="0" w:type="dxa"/>
            <w:right w:w="108" w:type="dxa"/>
          </w:tblCellMar>
        </w:tblPrEx>
        <w:trPr>
          <w:trHeight w:val="300" w:hRule="atLeast"/>
          <w:jc w:val="center"/>
        </w:trPr>
        <w:tc>
          <w:tcPr>
            <w:tcW w:w="8226" w:type="dxa"/>
            <w:gridSpan w:val="4"/>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2232" w:type="dxa"/>
            <w:gridSpan w:val="2"/>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3000" w:type="dxa"/>
            <w:gridSpan w:val="2"/>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91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6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28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政府性基金预算财政拨款</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28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二、政府性基金预算财政拨款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三、国有资本经营预算财政拨款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
    <w:p/>
    <w:p/>
    <w:p/>
    <w:p/>
    <w:p>
      <w:pPr>
        <w:tabs>
          <w:tab w:val="left" w:pos="5295"/>
        </w:tabs>
      </w:pPr>
      <w:r>
        <w:rPr>
          <w:rFonts w:hint="eastAsia"/>
        </w:rPr>
        <w:tab/>
      </w:r>
    </w:p>
    <w:p>
      <w:pPr>
        <w:tabs>
          <w:tab w:val="left" w:pos="5295"/>
        </w:tabs>
      </w:pPr>
    </w:p>
    <w:p>
      <w:pPr>
        <w:tabs>
          <w:tab w:val="left" w:pos="5295"/>
        </w:tabs>
      </w:pPr>
    </w:p>
    <w:p>
      <w:pPr>
        <w:tabs>
          <w:tab w:val="left" w:pos="5295"/>
        </w:tabs>
      </w:pPr>
    </w:p>
    <w:p>
      <w:pPr>
        <w:tabs>
          <w:tab w:val="left" w:pos="5295"/>
        </w:tabs>
      </w:pPr>
    </w:p>
    <w:p>
      <w:pPr>
        <w:tabs>
          <w:tab w:val="left" w:pos="5295"/>
        </w:tabs>
      </w:pPr>
    </w:p>
    <w:p>
      <w:pPr>
        <w:tabs>
          <w:tab w:val="left" w:pos="5295"/>
        </w:tabs>
      </w:pPr>
    </w:p>
    <w:p>
      <w:pPr>
        <w:tabs>
          <w:tab w:val="left" w:pos="5295"/>
        </w:tabs>
      </w:pPr>
    </w:p>
    <w:p>
      <w:pPr>
        <w:tabs>
          <w:tab w:val="left" w:pos="5295"/>
        </w:tabs>
      </w:pPr>
    </w:p>
    <w:p/>
    <w:p/>
    <w:p/>
    <w:tbl>
      <w:tblPr>
        <w:tblStyle w:val="5"/>
        <w:tblW w:w="12792" w:type="dxa"/>
        <w:jc w:val="center"/>
        <w:tblLayout w:type="autofit"/>
        <w:tblCellMar>
          <w:top w:w="0" w:type="dxa"/>
          <w:left w:w="108" w:type="dxa"/>
          <w:bottom w:w="0" w:type="dxa"/>
          <w:right w:w="108" w:type="dxa"/>
        </w:tblCellMar>
      </w:tblPr>
      <w:tblGrid>
        <w:gridCol w:w="745"/>
        <w:gridCol w:w="1711"/>
        <w:gridCol w:w="3096"/>
        <w:gridCol w:w="2965"/>
        <w:gridCol w:w="2965"/>
        <w:gridCol w:w="1310"/>
      </w:tblGrid>
      <w:tr>
        <w:tblPrEx>
          <w:tblCellMar>
            <w:top w:w="0" w:type="dxa"/>
            <w:left w:w="108" w:type="dxa"/>
            <w:bottom w:w="0" w:type="dxa"/>
            <w:right w:w="108" w:type="dxa"/>
          </w:tblCellMar>
        </w:tblPrEx>
        <w:trPr>
          <w:trHeight w:val="750" w:hRule="atLeast"/>
          <w:jc w:val="center"/>
        </w:trPr>
        <w:tc>
          <w:tcPr>
            <w:tcW w:w="12795" w:type="dxa"/>
            <w:gridSpan w:val="6"/>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部门预算一般公共预算财政拨款支出表</w:t>
            </w:r>
          </w:p>
        </w:tc>
      </w:tr>
      <w:tr>
        <w:tblPrEx>
          <w:tblCellMar>
            <w:top w:w="0" w:type="dxa"/>
            <w:left w:w="108" w:type="dxa"/>
            <w:bottom w:w="0" w:type="dxa"/>
            <w:right w:w="108" w:type="dxa"/>
          </w:tblCellMar>
        </w:tblPrEx>
        <w:trPr>
          <w:trHeight w:val="300" w:hRule="atLeast"/>
          <w:jc w:val="center"/>
        </w:trPr>
        <w:tc>
          <w:tcPr>
            <w:tcW w:w="8475" w:type="dxa"/>
            <w:gridSpan w:val="4"/>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300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32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281.44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46.50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2079999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科技转化与推广服务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bl>
    <w:p/>
    <w:p/>
    <w:p/>
    <w:p/>
    <w:p/>
    <w:p/>
    <w:p/>
    <w:p/>
    <w:tbl>
      <w:tblPr>
        <w:tblStyle w:val="5"/>
        <w:tblW w:w="12792" w:type="dxa"/>
        <w:jc w:val="center"/>
        <w:tblLayout w:type="autofit"/>
        <w:tblCellMar>
          <w:top w:w="0" w:type="dxa"/>
          <w:left w:w="108" w:type="dxa"/>
          <w:bottom w:w="0" w:type="dxa"/>
          <w:right w:w="108" w:type="dxa"/>
        </w:tblCellMar>
      </w:tblPr>
      <w:tblGrid>
        <w:gridCol w:w="749"/>
        <w:gridCol w:w="1725"/>
        <w:gridCol w:w="3000"/>
        <w:gridCol w:w="2999"/>
        <w:gridCol w:w="2999"/>
        <w:gridCol w:w="1320"/>
      </w:tblGrid>
      <w:tr>
        <w:tblPrEx>
          <w:tblCellMar>
            <w:top w:w="0" w:type="dxa"/>
            <w:left w:w="108" w:type="dxa"/>
            <w:bottom w:w="0" w:type="dxa"/>
            <w:right w:w="108" w:type="dxa"/>
          </w:tblCellMar>
        </w:tblPrEx>
        <w:trPr>
          <w:trHeight w:val="750" w:hRule="atLeast"/>
          <w:jc w:val="center"/>
        </w:trPr>
        <w:tc>
          <w:tcPr>
            <w:tcW w:w="12795" w:type="dxa"/>
            <w:gridSpan w:val="6"/>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部门预算一般公共预算财政拨款基本支出表</w:t>
            </w:r>
          </w:p>
        </w:tc>
      </w:tr>
      <w:tr>
        <w:tblPrEx>
          <w:tblCellMar>
            <w:top w:w="0" w:type="dxa"/>
            <w:left w:w="108" w:type="dxa"/>
            <w:bottom w:w="0" w:type="dxa"/>
            <w:right w:w="108" w:type="dxa"/>
          </w:tblCellMar>
        </w:tblPrEx>
        <w:trPr>
          <w:trHeight w:val="300" w:hRule="atLeast"/>
          <w:jc w:val="center"/>
        </w:trPr>
        <w:tc>
          <w:tcPr>
            <w:tcW w:w="8475" w:type="dxa"/>
            <w:gridSpan w:val="4"/>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300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32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73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r>
      <w:tr>
        <w:tblPrEx>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经济分类科目编码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人员经费</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公用经费</w:t>
            </w: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281.44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228.72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228.72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绩效工资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印刷费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0.70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取暖费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
    <w:p/>
    <w:p/>
    <w:p/>
    <w:p/>
    <w:p/>
    <w:p/>
    <w:p/>
    <w:p/>
    <w:p/>
    <w:p/>
    <w:p/>
    <w:p/>
    <w:p/>
    <w:p/>
    <w:p/>
    <w:p/>
    <w:p/>
    <w:p/>
    <w:p/>
    <w:p/>
    <w:p/>
    <w:p/>
    <w:p/>
    <w:tbl>
      <w:tblPr>
        <w:tblStyle w:val="5"/>
        <w:tblW w:w="12792" w:type="dxa"/>
        <w:jc w:val="center"/>
        <w:tblLayout w:type="autofit"/>
        <w:tblCellMar>
          <w:top w:w="0" w:type="dxa"/>
          <w:left w:w="108" w:type="dxa"/>
          <w:bottom w:w="0" w:type="dxa"/>
          <w:right w:w="108" w:type="dxa"/>
        </w:tblCellMar>
      </w:tblPr>
      <w:tblGrid>
        <w:gridCol w:w="750"/>
        <w:gridCol w:w="1725"/>
        <w:gridCol w:w="2999"/>
        <w:gridCol w:w="2999"/>
        <w:gridCol w:w="2999"/>
        <w:gridCol w:w="1320"/>
      </w:tblGrid>
      <w:tr>
        <w:tblPrEx>
          <w:tblCellMar>
            <w:top w:w="0" w:type="dxa"/>
            <w:left w:w="108" w:type="dxa"/>
            <w:bottom w:w="0" w:type="dxa"/>
            <w:right w:w="108" w:type="dxa"/>
          </w:tblCellMar>
        </w:tblPrEx>
        <w:trPr>
          <w:trHeight w:val="750" w:hRule="atLeast"/>
          <w:jc w:val="center"/>
        </w:trPr>
        <w:tc>
          <w:tcPr>
            <w:tcW w:w="12795" w:type="dxa"/>
            <w:gridSpan w:val="6"/>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部门预算政府基金预算财政拨款支出表</w:t>
            </w:r>
          </w:p>
        </w:tc>
      </w:tr>
      <w:tr>
        <w:tblPrEx>
          <w:tblCellMar>
            <w:top w:w="0" w:type="dxa"/>
            <w:left w:w="108" w:type="dxa"/>
            <w:bottom w:w="0" w:type="dxa"/>
            <w:right w:w="108" w:type="dxa"/>
          </w:tblCellMar>
        </w:tblPrEx>
        <w:trPr>
          <w:trHeight w:val="300" w:hRule="atLeast"/>
          <w:jc w:val="center"/>
        </w:trPr>
        <w:tc>
          <w:tcPr>
            <w:tcW w:w="8475" w:type="dxa"/>
            <w:gridSpan w:val="4"/>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300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320"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jc w:val="center"/>
        </w:trPr>
        <w:tc>
          <w:tcPr>
            <w:tcW w:w="0" w:type="auto"/>
            <w:gridSpan w:val="4"/>
            <w:tcBorders>
              <w:top w:val="single" w:color="000000" w:sz="4" w:space="0"/>
              <w:left w:val="nil"/>
              <w:bottom w:val="nil"/>
              <w:right w:val="nil"/>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注：我单位无政府性基金预算，空表列示。</w:t>
            </w:r>
          </w:p>
        </w:tc>
        <w:tc>
          <w:tcPr>
            <w:tcW w:w="0" w:type="auto"/>
            <w:tcBorders>
              <w:top w:val="nil"/>
              <w:left w:val="nil"/>
              <w:bottom w:val="nil"/>
              <w:right w:val="nil"/>
            </w:tcBorders>
            <w:shd w:val="clear" w:color="auto" w:fill="auto"/>
            <w:noWrap/>
            <w:vAlign w:val="center"/>
          </w:tcPr>
          <w:p>
            <w:pPr>
              <w:jc w:val="right"/>
              <w:rPr>
                <w:rFonts w:ascii="宋体" w:hAnsi="宋体" w:cs="宋体"/>
                <w:color w:val="000000"/>
                <w:sz w:val="18"/>
                <w:szCs w:val="18"/>
              </w:rPr>
            </w:pPr>
          </w:p>
        </w:tc>
        <w:tc>
          <w:tcPr>
            <w:tcW w:w="0" w:type="auto"/>
            <w:tcBorders>
              <w:top w:val="nil"/>
              <w:left w:val="nil"/>
              <w:bottom w:val="nil"/>
              <w:right w:val="nil"/>
            </w:tcBorders>
            <w:shd w:val="clear" w:color="auto" w:fill="auto"/>
            <w:noWrap/>
            <w:vAlign w:val="center"/>
          </w:tcPr>
          <w:p>
            <w:pPr>
              <w:jc w:val="right"/>
              <w:rPr>
                <w:rFonts w:ascii="宋体" w:hAnsi="宋体" w:cs="宋体"/>
                <w:color w:val="000000"/>
                <w:sz w:val="18"/>
                <w:szCs w:val="18"/>
              </w:rPr>
            </w:pPr>
          </w:p>
        </w:tc>
      </w:tr>
    </w:tbl>
    <w:p/>
    <w:p/>
    <w:tbl>
      <w:tblPr>
        <w:tblStyle w:val="5"/>
        <w:tblW w:w="13788" w:type="dxa"/>
        <w:jc w:val="center"/>
        <w:tblLayout w:type="autofit"/>
        <w:tblCellMar>
          <w:top w:w="0" w:type="dxa"/>
          <w:left w:w="108" w:type="dxa"/>
          <w:bottom w:w="0" w:type="dxa"/>
          <w:right w:w="108" w:type="dxa"/>
        </w:tblCellMar>
      </w:tblPr>
      <w:tblGrid>
        <w:gridCol w:w="750"/>
        <w:gridCol w:w="1725"/>
        <w:gridCol w:w="3000"/>
        <w:gridCol w:w="2999"/>
        <w:gridCol w:w="2999"/>
        <w:gridCol w:w="2315"/>
      </w:tblGrid>
      <w:tr>
        <w:tblPrEx>
          <w:tblCellMar>
            <w:top w:w="0" w:type="dxa"/>
            <w:left w:w="108" w:type="dxa"/>
            <w:bottom w:w="0" w:type="dxa"/>
            <w:right w:w="108" w:type="dxa"/>
          </w:tblCellMar>
        </w:tblPrEx>
        <w:trPr>
          <w:trHeight w:val="750" w:hRule="atLeast"/>
          <w:jc w:val="center"/>
        </w:trPr>
        <w:tc>
          <w:tcPr>
            <w:tcW w:w="13788" w:type="dxa"/>
            <w:gridSpan w:val="6"/>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部门预算国有资本经营预算财政拨款支出表</w:t>
            </w:r>
          </w:p>
        </w:tc>
      </w:tr>
      <w:tr>
        <w:tblPrEx>
          <w:tblCellMar>
            <w:top w:w="0" w:type="dxa"/>
            <w:left w:w="108" w:type="dxa"/>
            <w:bottom w:w="0" w:type="dxa"/>
            <w:right w:w="108" w:type="dxa"/>
          </w:tblCellMar>
        </w:tblPrEx>
        <w:trPr>
          <w:trHeight w:val="300" w:hRule="atLeast"/>
          <w:jc w:val="center"/>
        </w:trPr>
        <w:tc>
          <w:tcPr>
            <w:tcW w:w="8474" w:type="dxa"/>
            <w:gridSpan w:val="4"/>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2999"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315"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29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9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23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9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29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23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c>
          <w:tcPr>
            <w:tcW w:w="2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jc w:val="center"/>
        </w:trPr>
        <w:tc>
          <w:tcPr>
            <w:tcW w:w="0" w:type="auto"/>
            <w:gridSpan w:val="3"/>
            <w:tcBorders>
              <w:top w:val="nil"/>
              <w:left w:val="nil"/>
              <w:bottom w:val="nil"/>
              <w:right w:val="nil"/>
            </w:tcBorders>
            <w:shd w:val="clear" w:color="auto" w:fill="auto"/>
            <w:noWrap/>
          </w:tcPr>
          <w:p>
            <w:pPr>
              <w:widowControl/>
              <w:jc w:val="center"/>
              <w:textAlignment w:val="top"/>
              <w:rPr>
                <w:rFonts w:ascii="宋体" w:hAnsi="宋体" w:cs="宋体"/>
                <w:color w:val="000000"/>
                <w:sz w:val="18"/>
                <w:szCs w:val="18"/>
              </w:rPr>
            </w:pPr>
            <w:r>
              <w:rPr>
                <w:rFonts w:hint="eastAsia" w:ascii="宋体" w:hAnsi="宋体" w:cs="宋体"/>
                <w:color w:val="000000"/>
                <w:kern w:val="0"/>
                <w:sz w:val="18"/>
                <w:szCs w:val="18"/>
              </w:rPr>
              <w:t>注：我单位无国有资本经营预算，空表列示。</w:t>
            </w:r>
          </w:p>
        </w:tc>
        <w:tc>
          <w:tcPr>
            <w:tcW w:w="0" w:type="auto"/>
            <w:tcBorders>
              <w:top w:val="nil"/>
              <w:left w:val="nil"/>
              <w:bottom w:val="nil"/>
              <w:right w:val="nil"/>
            </w:tcBorders>
            <w:shd w:val="clear" w:color="auto" w:fill="auto"/>
            <w:noWrap/>
          </w:tcPr>
          <w:p>
            <w:pPr>
              <w:rPr>
                <w:rFonts w:ascii="宋体" w:hAnsi="宋体" w:cs="宋体"/>
                <w:color w:val="000000"/>
                <w:sz w:val="18"/>
                <w:szCs w:val="18"/>
              </w:rPr>
            </w:pPr>
          </w:p>
        </w:tc>
        <w:tc>
          <w:tcPr>
            <w:tcW w:w="0" w:type="auto"/>
            <w:tcBorders>
              <w:top w:val="nil"/>
              <w:left w:val="nil"/>
              <w:bottom w:val="nil"/>
              <w:right w:val="nil"/>
            </w:tcBorders>
            <w:shd w:val="clear" w:color="auto" w:fill="auto"/>
            <w:noWrap/>
          </w:tcPr>
          <w:p>
            <w:pPr>
              <w:rPr>
                <w:rFonts w:ascii="宋体" w:hAnsi="宋体" w:cs="宋体"/>
                <w:color w:val="000000"/>
                <w:sz w:val="18"/>
                <w:szCs w:val="18"/>
              </w:rPr>
            </w:pPr>
          </w:p>
        </w:tc>
        <w:tc>
          <w:tcPr>
            <w:tcW w:w="2315" w:type="dxa"/>
            <w:tcBorders>
              <w:top w:val="nil"/>
              <w:left w:val="nil"/>
              <w:bottom w:val="nil"/>
              <w:right w:val="nil"/>
            </w:tcBorders>
            <w:shd w:val="clear" w:color="auto" w:fill="auto"/>
            <w:noWrap/>
          </w:tcPr>
          <w:p>
            <w:pPr>
              <w:rPr>
                <w:rFonts w:ascii="宋体" w:hAnsi="宋体" w:cs="宋体"/>
                <w:color w:val="000000"/>
                <w:sz w:val="18"/>
                <w:szCs w:val="18"/>
              </w:rPr>
            </w:pPr>
          </w:p>
        </w:tc>
      </w:tr>
    </w:tbl>
    <w:p/>
    <w:p/>
    <w:p/>
    <w:p/>
    <w:p/>
    <w:p/>
    <w:p/>
    <w:p/>
    <w:p/>
    <w:p/>
    <w:tbl>
      <w:tblPr>
        <w:tblStyle w:val="5"/>
        <w:tblW w:w="13765" w:type="dxa"/>
        <w:tblInd w:w="96" w:type="dxa"/>
        <w:tblLayout w:type="fixed"/>
        <w:tblCellMar>
          <w:top w:w="0" w:type="dxa"/>
          <w:left w:w="108" w:type="dxa"/>
          <w:bottom w:w="0" w:type="dxa"/>
          <w:right w:w="108" w:type="dxa"/>
        </w:tblCellMar>
      </w:tblPr>
      <w:tblGrid>
        <w:gridCol w:w="749"/>
        <w:gridCol w:w="3876"/>
        <w:gridCol w:w="924"/>
        <w:gridCol w:w="2120"/>
        <w:gridCol w:w="1898"/>
        <w:gridCol w:w="2399"/>
        <w:gridCol w:w="1799"/>
      </w:tblGrid>
      <w:tr>
        <w:tblPrEx>
          <w:tblCellMar>
            <w:top w:w="0" w:type="dxa"/>
            <w:left w:w="108" w:type="dxa"/>
            <w:bottom w:w="0" w:type="dxa"/>
            <w:right w:w="108" w:type="dxa"/>
          </w:tblCellMar>
        </w:tblPrEx>
        <w:trPr>
          <w:trHeight w:val="750" w:hRule="atLeast"/>
        </w:trPr>
        <w:tc>
          <w:tcPr>
            <w:tcW w:w="13765" w:type="dxa"/>
            <w:gridSpan w:val="7"/>
            <w:tcBorders>
              <w:top w:val="nil"/>
              <w:left w:val="nil"/>
              <w:bottom w:val="nil"/>
              <w:right w:val="nil"/>
            </w:tcBorders>
            <w:shd w:val="clear" w:color="auto" w:fill="auto"/>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部门预算财政拨款“三公”经费支出表</w:t>
            </w:r>
          </w:p>
        </w:tc>
      </w:tr>
      <w:tr>
        <w:tblPrEx>
          <w:tblCellMar>
            <w:top w:w="0" w:type="dxa"/>
            <w:left w:w="108" w:type="dxa"/>
            <w:bottom w:w="0" w:type="dxa"/>
            <w:right w:w="108" w:type="dxa"/>
          </w:tblCellMar>
        </w:tblPrEx>
        <w:trPr>
          <w:trHeight w:val="300" w:hRule="atLeast"/>
        </w:trPr>
        <w:tc>
          <w:tcPr>
            <w:tcW w:w="9567" w:type="dxa"/>
            <w:gridSpan w:val="5"/>
            <w:tcBorders>
              <w:top w:val="nil"/>
              <w:left w:val="nil"/>
              <w:bottom w:val="nil"/>
              <w:right w:val="nil"/>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部门编码及名称：[984]涞源县王安镇人民政府</w:t>
            </w:r>
          </w:p>
        </w:tc>
        <w:tc>
          <w:tcPr>
            <w:tcW w:w="2399"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799" w:type="dxa"/>
            <w:tcBorders>
              <w:top w:val="nil"/>
              <w:left w:val="nil"/>
              <w:bottom w:val="nil"/>
              <w:right w:val="nil"/>
            </w:tcBorders>
            <w:shd w:val="clear" w:color="auto" w:fill="auto"/>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8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914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资金来源</w:t>
            </w:r>
          </w:p>
        </w:tc>
      </w:tr>
      <w:tr>
        <w:tblPrEx>
          <w:tblCellMar>
            <w:top w:w="0" w:type="dxa"/>
            <w:left w:w="108" w:type="dxa"/>
            <w:bottom w:w="0" w:type="dxa"/>
            <w:right w:w="108" w:type="dxa"/>
          </w:tblCellMar>
        </w:tblPrEx>
        <w:trPr>
          <w:trHeight w:val="30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3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1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政府性基金财政拨款</w:t>
            </w:r>
          </w:p>
        </w:tc>
        <w:tc>
          <w:tcPr>
            <w:tcW w:w="23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c>
          <w:tcPr>
            <w:tcW w:w="1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财政专户核拨资金</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8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1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3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“三公”经费小计</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一、因公出国（境）费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其中：教学科研人员因公出国（境）费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其他因公出国（境）费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二、公务用车购置及运维费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其中：公务用车购置费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公务用车运行维护费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3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三、公务接待费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2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r>
        <w:rPr>
          <w:rFonts w:hint="eastAsia" w:ascii="宋体" w:hAnsi="宋体" w:cs="宋体"/>
          <w:b/>
          <w:bCs/>
          <w:sz w:val="44"/>
          <w:szCs w:val="44"/>
        </w:rPr>
        <w:t>涞源县王安镇人民政府</w:t>
      </w:r>
    </w:p>
    <w:p>
      <w:pPr>
        <w:jc w:val="center"/>
        <w:rPr>
          <w:rFonts w:ascii="宋体" w:hAnsi="宋体" w:cs="宋体"/>
          <w:b/>
          <w:bCs/>
          <w:sz w:val="44"/>
          <w:szCs w:val="44"/>
        </w:rPr>
      </w:pPr>
      <w:r>
        <w:rPr>
          <w:rFonts w:hint="eastAsia" w:ascii="宋体" w:hAnsi="宋体" w:cs="宋体"/>
          <w:b/>
          <w:bCs/>
          <w:sz w:val="44"/>
          <w:szCs w:val="44"/>
        </w:rPr>
        <w:t>2019年部门预算信息公开情况说明</w:t>
      </w:r>
    </w:p>
    <w:p>
      <w:pPr>
        <w:jc w:val="center"/>
      </w:pPr>
    </w:p>
    <w:p>
      <w:pPr>
        <w:jc w:val="center"/>
      </w:pPr>
    </w:p>
    <w:p>
      <w:pPr>
        <w:ind w:firstLine="640" w:firstLineChars="200"/>
        <w:rPr>
          <w:rFonts w:ascii="仿宋" w:hAnsi="仿宋" w:eastAsia="仿宋"/>
          <w:sz w:val="32"/>
        </w:rPr>
      </w:pPr>
      <w:r>
        <w:rPr>
          <w:rFonts w:hint="eastAsia" w:ascii="仿宋" w:hAnsi="仿宋" w:eastAsia="仿宋"/>
          <w:sz w:val="32"/>
        </w:rPr>
        <w:t>按照《</w:t>
      </w:r>
      <w:r>
        <w:rPr>
          <w:rFonts w:hint="eastAsia" w:ascii="仿宋" w:hAnsi="仿宋" w:eastAsia="仿宋"/>
          <w:sz w:val="32"/>
          <w:lang w:val="en-US" w:eastAsia="zh-CN"/>
        </w:rPr>
        <w:t>中华人民共和国</w:t>
      </w:r>
      <w:r>
        <w:rPr>
          <w:rFonts w:hint="eastAsia" w:ascii="仿宋" w:hAnsi="仿宋" w:eastAsia="仿宋"/>
          <w:sz w:val="32"/>
        </w:rPr>
        <w:t>预算法》、《地方预决算公开操作规程》和《河北省省级预算公开办法》规定，现将涞源县王安镇人民政府2019年部门预算公开如下：</w:t>
      </w:r>
    </w:p>
    <w:p>
      <w:pPr>
        <w:ind w:firstLine="643" w:firstLineChars="200"/>
        <w:jc w:val="left"/>
        <w:rPr>
          <w:rFonts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一、部门职责及机构设置情况</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部门职责</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b/>
          <w:sz w:val="32"/>
          <w:szCs w:val="32"/>
        </w:rPr>
        <w:t>基层政权建设。</w:t>
      </w:r>
      <w:r>
        <w:rPr>
          <w:rFonts w:hint="eastAsia" w:ascii="仿宋" w:hAnsi="仿宋" w:eastAsia="仿宋" w:cs="仿宋"/>
          <w:sz w:val="32"/>
          <w:szCs w:val="32"/>
        </w:rPr>
        <w:t>宣传贯彻执行党的路线、方针、政策和国家的法律法规，执行本级人民代表大会的决议和上级国家行政机关的决定和命令。</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b/>
          <w:sz w:val="32"/>
          <w:szCs w:val="32"/>
        </w:rPr>
        <w:t>加强基层政权建设。</w:t>
      </w:r>
      <w:r>
        <w:rPr>
          <w:rFonts w:hint="eastAsia" w:ascii="仿宋" w:hAnsi="仿宋" w:eastAsia="仿宋" w:cs="仿宋"/>
          <w:sz w:val="32"/>
          <w:szCs w:val="32"/>
        </w:rPr>
        <w:t>促进经济发展，加强社会管理，提供公共服务，维护农村稳定。</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b/>
          <w:sz w:val="32"/>
          <w:szCs w:val="32"/>
        </w:rPr>
        <w:t>党组织建设和基层民主整治建设。</w:t>
      </w:r>
      <w:r>
        <w:rPr>
          <w:rFonts w:hint="eastAsia" w:ascii="仿宋" w:hAnsi="仿宋" w:eastAsia="仿宋" w:cs="仿宋"/>
          <w:sz w:val="32"/>
          <w:szCs w:val="32"/>
        </w:rPr>
        <w:t>搞好农村党组织建设和基层民主政治建设。</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（四）</w:t>
      </w:r>
      <w:r>
        <w:rPr>
          <w:rFonts w:hint="eastAsia" w:ascii="仿宋" w:hAnsi="仿宋" w:eastAsia="仿宋" w:cs="仿宋"/>
          <w:b/>
          <w:sz w:val="32"/>
          <w:szCs w:val="32"/>
        </w:rPr>
        <w:t>抓好基层党组织组织建设和法治建设。</w:t>
      </w:r>
      <w:r>
        <w:rPr>
          <w:rFonts w:hint="eastAsia" w:ascii="仿宋" w:hAnsi="仿宋" w:eastAsia="仿宋" w:cs="仿宋"/>
          <w:sz w:val="32"/>
          <w:szCs w:val="32"/>
        </w:rPr>
        <w:t>抓好基层党组织建设和基层民主政治建设，保障法律法规赋予公民的基本权利。</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（五）</w:t>
      </w:r>
      <w:r>
        <w:rPr>
          <w:rFonts w:hint="eastAsia" w:ascii="仿宋" w:hAnsi="仿宋" w:eastAsia="仿宋" w:cs="仿宋"/>
          <w:b/>
          <w:sz w:val="32"/>
          <w:szCs w:val="32"/>
        </w:rPr>
        <w:t>指导、协调、联络工作。</w:t>
      </w:r>
      <w:r>
        <w:rPr>
          <w:rFonts w:hint="eastAsia" w:ascii="仿宋" w:hAnsi="仿宋" w:eastAsia="仿宋" w:cs="仿宋"/>
          <w:sz w:val="32"/>
          <w:szCs w:val="32"/>
        </w:rPr>
        <w:t>协调与其他单位、部门单位之间的关系。</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（六）</w:t>
      </w:r>
      <w:r>
        <w:rPr>
          <w:rFonts w:hint="eastAsia" w:ascii="仿宋" w:hAnsi="仿宋" w:eastAsia="仿宋" w:cs="仿宋"/>
          <w:b/>
          <w:sz w:val="32"/>
          <w:szCs w:val="32"/>
        </w:rPr>
        <w:t>协调各单位、各部门之间的关系。</w:t>
      </w:r>
      <w:r>
        <w:rPr>
          <w:rFonts w:hint="eastAsia" w:ascii="仿宋" w:hAnsi="仿宋" w:eastAsia="仿宋" w:cs="仿宋"/>
          <w:sz w:val="32"/>
          <w:szCs w:val="32"/>
        </w:rPr>
        <w:t>保障人大、武装、纪检监察等各项工作顺利开展。</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（七）</w:t>
      </w:r>
      <w:r>
        <w:rPr>
          <w:rFonts w:hint="eastAsia" w:ascii="仿宋" w:hAnsi="仿宋" w:eastAsia="仿宋" w:cs="仿宋"/>
          <w:b/>
          <w:sz w:val="32"/>
          <w:szCs w:val="32"/>
        </w:rPr>
        <w:t>信访、维稳及乡村法制建设。</w:t>
      </w:r>
      <w:r>
        <w:rPr>
          <w:rFonts w:hint="eastAsia" w:ascii="仿宋" w:hAnsi="仿宋" w:eastAsia="仿宋" w:cs="仿宋"/>
          <w:sz w:val="32"/>
          <w:szCs w:val="32"/>
        </w:rPr>
        <w:t>建立完善协调联动机制，建立健全调解防范体制，完善村、乡两级组织，充分发挥村级自治和司法解释的作用。</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（八）</w:t>
      </w:r>
      <w:r>
        <w:rPr>
          <w:rFonts w:hint="eastAsia" w:ascii="仿宋" w:hAnsi="仿宋" w:eastAsia="仿宋" w:cs="仿宋"/>
          <w:b/>
          <w:sz w:val="32"/>
          <w:szCs w:val="32"/>
        </w:rPr>
        <w:t>处理来信来访、加强法制建设。</w:t>
      </w:r>
      <w:r>
        <w:rPr>
          <w:rFonts w:hint="eastAsia" w:ascii="仿宋" w:hAnsi="仿宋" w:eastAsia="仿宋" w:cs="仿宋"/>
          <w:sz w:val="32"/>
          <w:szCs w:val="32"/>
        </w:rPr>
        <w:t>及时有效的了解民情民意、扶持弱势群众，加强社会治安管理，维护社会安定秩序。</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（九）</w:t>
      </w:r>
      <w:r>
        <w:rPr>
          <w:rFonts w:hint="eastAsia" w:ascii="仿宋" w:hAnsi="仿宋" w:eastAsia="仿宋" w:cs="仿宋"/>
          <w:b/>
          <w:sz w:val="32"/>
          <w:szCs w:val="32"/>
        </w:rPr>
        <w:t>制定产业规划，调整发展模式，发展村级经济。</w:t>
      </w:r>
      <w:r>
        <w:rPr>
          <w:rFonts w:hint="eastAsia" w:ascii="仿宋" w:hAnsi="仿宋" w:eastAsia="仿宋" w:cs="仿宋"/>
          <w:sz w:val="32"/>
          <w:szCs w:val="32"/>
        </w:rPr>
        <w:t>科学制定本乡产业规划，谋划适应乡镇实际的发展模式，并组织实施。</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（十）</w:t>
      </w:r>
      <w:r>
        <w:rPr>
          <w:rFonts w:hint="eastAsia" w:ascii="仿宋" w:hAnsi="仿宋" w:eastAsia="仿宋" w:cs="仿宋"/>
          <w:b/>
          <w:sz w:val="32"/>
          <w:szCs w:val="32"/>
        </w:rPr>
        <w:t>制定产业规划，培育和发展农民专业合作组织和中介组织。</w:t>
      </w:r>
      <w:r>
        <w:rPr>
          <w:rFonts w:hint="eastAsia" w:ascii="仿宋" w:hAnsi="仿宋" w:eastAsia="仿宋" w:cs="仿宋"/>
          <w:sz w:val="32"/>
          <w:szCs w:val="32"/>
        </w:rPr>
        <w:t>壮大第二、第三产业，增强农村集体经济组织经济实力。</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（十一）</w:t>
      </w:r>
      <w:r>
        <w:rPr>
          <w:rFonts w:hint="eastAsia" w:ascii="仿宋" w:hAnsi="仿宋" w:eastAsia="仿宋" w:cs="仿宋"/>
          <w:b/>
          <w:sz w:val="32"/>
          <w:szCs w:val="32"/>
        </w:rPr>
        <w:t>乡村财政资金管理。</w:t>
      </w:r>
      <w:r>
        <w:rPr>
          <w:rFonts w:hint="eastAsia" w:ascii="仿宋" w:hAnsi="仿宋" w:eastAsia="仿宋" w:cs="仿宋"/>
          <w:sz w:val="32"/>
          <w:szCs w:val="32"/>
        </w:rPr>
        <w:t>加强乡村财政资金管理。</w:t>
      </w:r>
    </w:p>
    <w:p>
      <w:pPr>
        <w:ind w:firstLine="643" w:firstLineChars="200"/>
        <w:jc w:val="left"/>
        <w:rPr>
          <w:rFonts w:ascii="仿宋" w:hAnsi="仿宋" w:eastAsia="仿宋" w:cs="仿宋"/>
          <w:sz w:val="32"/>
          <w:szCs w:val="32"/>
        </w:rPr>
      </w:pPr>
      <w:r>
        <w:rPr>
          <w:rFonts w:hint="eastAsia" w:ascii="仿宋" w:hAnsi="仿宋" w:eastAsia="仿宋" w:cs="仿宋"/>
          <w:b/>
          <w:sz w:val="32"/>
          <w:szCs w:val="32"/>
        </w:rPr>
        <w:t>（十二）指导各村管好用好集体资金。</w:t>
      </w:r>
      <w:r>
        <w:rPr>
          <w:rFonts w:hint="eastAsia" w:ascii="仿宋" w:hAnsi="仿宋" w:eastAsia="仿宋" w:cs="仿宋"/>
          <w:sz w:val="32"/>
          <w:szCs w:val="32"/>
        </w:rPr>
        <w:t>负责指导监督各村管好用好各项集体资金。</w:t>
      </w:r>
    </w:p>
    <w:p>
      <w:pPr>
        <w:ind w:firstLine="643" w:firstLineChars="200"/>
        <w:jc w:val="left"/>
        <w:rPr>
          <w:rFonts w:ascii="仿宋" w:hAnsi="仿宋" w:eastAsia="仿宋" w:cs="仿宋"/>
          <w:sz w:val="32"/>
          <w:szCs w:val="32"/>
        </w:rPr>
      </w:pPr>
      <w:r>
        <w:rPr>
          <w:rFonts w:hint="eastAsia" w:ascii="仿宋" w:hAnsi="仿宋" w:eastAsia="仿宋" w:cs="仿宋"/>
          <w:b/>
          <w:sz w:val="32"/>
          <w:szCs w:val="32"/>
        </w:rPr>
        <w:t>（十三）社会事务管理和社会保障。</w:t>
      </w:r>
      <w:r>
        <w:rPr>
          <w:rFonts w:hint="eastAsia" w:ascii="仿宋" w:hAnsi="仿宋" w:eastAsia="仿宋" w:cs="仿宋"/>
          <w:sz w:val="32"/>
          <w:szCs w:val="32"/>
        </w:rPr>
        <w:t>协助县直有关部门做好农村社会保障工作，建立健全农村合作医疗、低保、救济等制度，搞好优抚工作，解除农民后顾之忧。</w:t>
      </w:r>
    </w:p>
    <w:p>
      <w:pPr>
        <w:ind w:firstLine="643" w:firstLineChars="200"/>
        <w:jc w:val="left"/>
        <w:rPr>
          <w:rFonts w:ascii="仿宋" w:hAnsi="仿宋" w:eastAsia="仿宋" w:cs="仿宋"/>
          <w:sz w:val="32"/>
          <w:szCs w:val="32"/>
        </w:rPr>
      </w:pPr>
      <w:r>
        <w:rPr>
          <w:rFonts w:hint="eastAsia" w:ascii="仿宋" w:hAnsi="仿宋" w:eastAsia="仿宋" w:cs="仿宋"/>
          <w:b/>
          <w:sz w:val="32"/>
          <w:szCs w:val="32"/>
        </w:rPr>
        <w:t>（十四）就业及劳动技能培训。</w:t>
      </w:r>
      <w:r>
        <w:rPr>
          <w:rFonts w:hint="eastAsia" w:ascii="仿宋" w:hAnsi="仿宋" w:eastAsia="仿宋" w:cs="仿宋"/>
          <w:sz w:val="32"/>
          <w:szCs w:val="32"/>
        </w:rPr>
        <w:t>加强对农村劳动力的职业培训，扩大农村富余劳动力就业。</w:t>
      </w:r>
    </w:p>
    <w:p>
      <w:pPr>
        <w:ind w:firstLine="643" w:firstLineChars="200"/>
        <w:jc w:val="left"/>
        <w:rPr>
          <w:rFonts w:ascii="仿宋" w:hAnsi="仿宋" w:eastAsia="仿宋" w:cs="仿宋"/>
          <w:sz w:val="32"/>
          <w:szCs w:val="32"/>
        </w:rPr>
      </w:pPr>
      <w:r>
        <w:rPr>
          <w:rFonts w:hint="eastAsia" w:ascii="仿宋" w:hAnsi="仿宋" w:eastAsia="仿宋" w:cs="仿宋"/>
          <w:b/>
          <w:sz w:val="32"/>
          <w:szCs w:val="32"/>
        </w:rPr>
        <w:t>（十五）社会事务管理。</w:t>
      </w:r>
      <w:r>
        <w:rPr>
          <w:rFonts w:hint="eastAsia" w:ascii="仿宋" w:hAnsi="仿宋" w:eastAsia="仿宋" w:cs="仿宋"/>
          <w:sz w:val="32"/>
          <w:szCs w:val="32"/>
        </w:rPr>
        <w:t>协助县直有关部门做好公共事业管理工作；拥军</w:t>
      </w:r>
      <w:r>
        <w:rPr>
          <w:rFonts w:hint="eastAsia" w:ascii="仿宋" w:hAnsi="仿宋" w:eastAsia="仿宋" w:cs="仿宋"/>
          <w:sz w:val="32"/>
          <w:szCs w:val="32"/>
          <w:lang w:val="en-US" w:eastAsia="zh-CN"/>
        </w:rPr>
        <w:t>优</w:t>
      </w:r>
      <w:r>
        <w:rPr>
          <w:rFonts w:hint="eastAsia" w:ascii="仿宋" w:hAnsi="仿宋" w:eastAsia="仿宋" w:cs="仿宋"/>
          <w:sz w:val="32"/>
          <w:szCs w:val="32"/>
        </w:rPr>
        <w:t>属、救灾扶贫，妥善安置残疾人就业，负责殡葬改革工作，指导村民委员会的建设和换届选举工作。</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（十六）</w:t>
      </w:r>
      <w:r>
        <w:rPr>
          <w:rFonts w:hint="eastAsia" w:ascii="仿宋" w:hAnsi="仿宋" w:eastAsia="仿宋" w:cs="仿宋"/>
          <w:b/>
          <w:sz w:val="32"/>
          <w:szCs w:val="32"/>
        </w:rPr>
        <w:t>计划生育。</w:t>
      </w:r>
      <w:r>
        <w:rPr>
          <w:rFonts w:hint="eastAsia" w:ascii="仿宋" w:hAnsi="仿宋" w:eastAsia="仿宋" w:cs="仿宋"/>
          <w:sz w:val="32"/>
          <w:szCs w:val="32"/>
        </w:rPr>
        <w:t>提供各类计划生育技术服务，建立利益导向机制，开展出生人口性别比治理以及流动人口计划生育管理等各项工作。</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（十七）</w:t>
      </w:r>
      <w:r>
        <w:rPr>
          <w:rFonts w:hint="eastAsia" w:ascii="仿宋" w:hAnsi="仿宋" w:eastAsia="仿宋" w:cs="仿宋"/>
          <w:b/>
          <w:sz w:val="32"/>
          <w:szCs w:val="32"/>
        </w:rPr>
        <w:t>计划生育服务。</w:t>
      </w:r>
      <w:r>
        <w:rPr>
          <w:rFonts w:hint="eastAsia" w:ascii="仿宋" w:hAnsi="仿宋" w:eastAsia="仿宋" w:cs="仿宋"/>
          <w:sz w:val="32"/>
          <w:szCs w:val="32"/>
        </w:rPr>
        <w:t>免费为农村计划怀孕夫妇实行孕前优生健康检查；免费为公民提供计划生育避孕节育基本技术服务；免费为农村已婚育龄妇女提供生殖健康检查服务。</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（十八）</w:t>
      </w:r>
      <w:r>
        <w:rPr>
          <w:rFonts w:hint="eastAsia" w:ascii="仿宋" w:hAnsi="仿宋" w:eastAsia="仿宋" w:cs="仿宋"/>
          <w:b/>
          <w:sz w:val="32"/>
          <w:szCs w:val="32"/>
        </w:rPr>
        <w:t>计划生育奖励扶持政策。</w:t>
      </w:r>
      <w:r>
        <w:rPr>
          <w:rFonts w:hint="eastAsia" w:ascii="仿宋" w:hAnsi="仿宋" w:eastAsia="仿宋" w:cs="仿宋"/>
          <w:sz w:val="32"/>
          <w:szCs w:val="32"/>
        </w:rPr>
        <w:t>采取奖励、扶助、社会保障等机制，引导家庭和个人打取计划生育措施，提高计划生育家庭发展能力。</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（十九）</w:t>
      </w:r>
      <w:r>
        <w:rPr>
          <w:rFonts w:hint="eastAsia" w:ascii="仿宋" w:hAnsi="仿宋" w:eastAsia="仿宋" w:cs="仿宋"/>
          <w:b/>
          <w:sz w:val="32"/>
          <w:szCs w:val="32"/>
        </w:rPr>
        <w:t>计划生育政策宣传、计划生育专职人员培训。</w:t>
      </w:r>
      <w:r>
        <w:rPr>
          <w:rFonts w:hint="eastAsia" w:ascii="仿宋" w:hAnsi="仿宋" w:eastAsia="仿宋" w:cs="仿宋"/>
          <w:sz w:val="32"/>
          <w:szCs w:val="32"/>
        </w:rPr>
        <w:t>通过计划生育宣传、培训，提高计生专职人员的业务素质，提高辖区内计划生育家庭的幸福。</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（二十）</w:t>
      </w:r>
      <w:r>
        <w:rPr>
          <w:rFonts w:hint="eastAsia" w:ascii="仿宋" w:hAnsi="仿宋" w:eastAsia="仿宋" w:cs="仿宋"/>
          <w:b/>
          <w:sz w:val="32"/>
          <w:szCs w:val="32"/>
        </w:rPr>
        <w:t>农村文化、精神文明奖建设。</w:t>
      </w:r>
      <w:r>
        <w:rPr>
          <w:rFonts w:hint="eastAsia" w:ascii="仿宋" w:hAnsi="仿宋" w:eastAsia="仿宋" w:cs="仿宋"/>
          <w:sz w:val="32"/>
          <w:szCs w:val="32"/>
        </w:rPr>
        <w:t>宣传国家的方针政策、活跃农村文化生活，负责群众文化工作，组织各种群众文化活动。</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（二十一）</w:t>
      </w:r>
      <w:r>
        <w:rPr>
          <w:rFonts w:hint="eastAsia" w:ascii="仿宋" w:hAnsi="仿宋" w:eastAsia="仿宋" w:cs="仿宋"/>
          <w:b/>
          <w:sz w:val="32"/>
          <w:szCs w:val="32"/>
        </w:rPr>
        <w:t>宣传国家的方针政策、活跃农村文化生活。</w:t>
      </w:r>
      <w:r>
        <w:rPr>
          <w:rFonts w:hint="eastAsia" w:ascii="仿宋" w:hAnsi="仿宋" w:eastAsia="仿宋" w:cs="仿宋"/>
          <w:sz w:val="32"/>
          <w:szCs w:val="32"/>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pPr>
        <w:pStyle w:val="8"/>
        <w:spacing w:line="520" w:lineRule="exact"/>
        <w:ind w:firstLine="0" w:firstLineChars="0"/>
        <w:rPr>
          <w:rFonts w:ascii="黑体" w:hAnsi="黑体" w:eastAsia="黑体"/>
          <w:sz w:val="32"/>
          <w:szCs w:val="32"/>
        </w:rPr>
      </w:pPr>
    </w:p>
    <w:p>
      <w:pPr>
        <w:pStyle w:val="8"/>
        <w:spacing w:line="520" w:lineRule="exact"/>
        <w:ind w:firstLine="0" w:firstLineChars="0"/>
        <w:rPr>
          <w:rFonts w:ascii="黑体" w:hAnsi="黑体" w:eastAsia="黑体"/>
          <w:sz w:val="32"/>
          <w:szCs w:val="32"/>
        </w:rPr>
        <w:sectPr>
          <w:headerReference r:id="rId4" w:type="default"/>
          <w:footerReference r:id="rId5" w:type="default"/>
          <w:pgSz w:w="16838" w:h="11905" w:orient="landscape"/>
          <w:pgMar w:top="1134" w:right="1531" w:bottom="1134" w:left="1474" w:header="851" w:footer="992" w:gutter="0"/>
          <w:cols w:space="0" w:num="1"/>
          <w:docGrid w:type="lines" w:linePitch="321" w:charSpace="0"/>
        </w:sectPr>
      </w:pPr>
    </w:p>
    <w:p>
      <w:pPr>
        <w:pStyle w:val="8"/>
        <w:spacing w:line="520" w:lineRule="exact"/>
        <w:ind w:firstLine="643"/>
        <w:rPr>
          <w:rFonts w:ascii="仿宋" w:hAnsi="仿宋" w:eastAsia="仿宋" w:cs="仿宋"/>
          <w:b/>
          <w:bCs/>
          <w:sz w:val="32"/>
          <w:szCs w:val="32"/>
        </w:rPr>
      </w:pPr>
      <w:r>
        <w:rPr>
          <w:rFonts w:hint="eastAsia" w:ascii="仿宋" w:hAnsi="仿宋" w:eastAsia="仿宋" w:cs="仿宋"/>
          <w:b/>
          <w:bCs/>
          <w:sz w:val="32"/>
          <w:szCs w:val="32"/>
        </w:rPr>
        <w:t>机构设置</w:t>
      </w:r>
    </w:p>
    <w:p>
      <w:pPr>
        <w:pStyle w:val="8"/>
        <w:spacing w:line="520" w:lineRule="exact"/>
        <w:ind w:firstLine="0" w:firstLineChars="0"/>
        <w:jc w:val="center"/>
        <w:rPr>
          <w:rFonts w:ascii="黑体" w:hAnsi="黑体" w:eastAsia="黑体"/>
          <w:sz w:val="32"/>
          <w:szCs w:val="32"/>
        </w:rPr>
      </w:pPr>
      <w:r>
        <w:rPr>
          <w:rFonts w:hint="eastAsia" w:ascii="黑体" w:hAnsi="黑体" w:eastAsia="黑体"/>
          <w:sz w:val="32"/>
          <w:szCs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847"/>
        <w:gridCol w:w="1436"/>
        <w:gridCol w:w="1616"/>
        <w:gridCol w:w="29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2" w:hRule="atLeast"/>
          <w:tblHeader/>
          <w:jc w:val="center"/>
        </w:trPr>
        <w:tc>
          <w:tcPr>
            <w:tcW w:w="4847"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436"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1616"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2980"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2" w:hRule="atLeast"/>
          <w:tblHeader/>
          <w:jc w:val="center"/>
        </w:trPr>
        <w:tc>
          <w:tcPr>
            <w:tcW w:w="4847" w:type="dxa"/>
            <w:vMerge w:val="continue"/>
            <w:noWrap/>
            <w:vAlign w:val="center"/>
          </w:tcPr>
          <w:p>
            <w:pPr>
              <w:spacing w:line="300" w:lineRule="exact"/>
              <w:jc w:val="left"/>
              <w:outlineLvl w:val="0"/>
            </w:pPr>
          </w:p>
        </w:tc>
        <w:tc>
          <w:tcPr>
            <w:tcW w:w="1436" w:type="dxa"/>
            <w:vMerge w:val="continue"/>
            <w:noWrap/>
            <w:vAlign w:val="center"/>
          </w:tcPr>
          <w:p>
            <w:pPr>
              <w:spacing w:line="300" w:lineRule="exact"/>
              <w:jc w:val="left"/>
              <w:outlineLvl w:val="0"/>
            </w:pPr>
          </w:p>
        </w:tc>
        <w:tc>
          <w:tcPr>
            <w:tcW w:w="1616" w:type="dxa"/>
            <w:vMerge w:val="continue"/>
            <w:noWrap/>
            <w:vAlign w:val="center"/>
          </w:tcPr>
          <w:p>
            <w:pPr>
              <w:spacing w:line="300" w:lineRule="exact"/>
              <w:jc w:val="left"/>
              <w:outlineLvl w:val="0"/>
            </w:pPr>
          </w:p>
        </w:tc>
        <w:tc>
          <w:tcPr>
            <w:tcW w:w="2980" w:type="dxa"/>
            <w:vMerge w:val="continue"/>
            <w:noWrap/>
            <w:vAlign w:val="center"/>
          </w:tcPr>
          <w:p>
            <w:pPr>
              <w:spacing w:line="300" w:lineRule="exact"/>
              <w:jc w:val="left"/>
              <w:outlineLvl w:val="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spacing w:line="300" w:lineRule="exact"/>
              <w:jc w:val="center"/>
              <w:rPr>
                <w:rFonts w:ascii="方正书宋_GBK" w:eastAsia="方正书宋_GBK"/>
              </w:rPr>
            </w:pPr>
            <w:r>
              <w:rPr>
                <w:rFonts w:hint="eastAsia" w:ascii="方正书宋_GBK" w:eastAsia="方正书宋_GBK"/>
                <w:szCs w:val="21"/>
              </w:rPr>
              <w:t>涞源县王安镇人民政</w:t>
            </w:r>
            <w:r>
              <w:rPr>
                <w:rFonts w:hint="eastAsia" w:ascii="方正书宋_GBK" w:eastAsia="方正书宋_GBK"/>
              </w:rPr>
              <w:t>府</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正科级</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tabs>
                <w:tab w:val="left" w:pos="663"/>
              </w:tabs>
              <w:spacing w:line="300" w:lineRule="exact"/>
              <w:jc w:val="center"/>
              <w:rPr>
                <w:rFonts w:ascii="方正书宋_GBK" w:eastAsia="方正书宋_GBK"/>
                <w:szCs w:val="21"/>
              </w:rPr>
            </w:pPr>
            <w:r>
              <w:rPr>
                <w:rFonts w:hint="eastAsia" w:ascii="方正书宋_GBK" w:eastAsia="方正书宋_GBK"/>
                <w:szCs w:val="21"/>
              </w:rPr>
              <w:t>党政办公室</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正科级</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spacing w:line="300" w:lineRule="exact"/>
              <w:jc w:val="center"/>
              <w:rPr>
                <w:rFonts w:ascii="方正书宋_GBK" w:eastAsia="方正书宋_GBK"/>
                <w:szCs w:val="21"/>
              </w:rPr>
            </w:pPr>
            <w:r>
              <w:rPr>
                <w:rFonts w:hint="eastAsia" w:ascii="方正书宋_GBK" w:eastAsia="方正书宋_GBK"/>
                <w:szCs w:val="21"/>
              </w:rPr>
              <w:t>基层组织建设办公室</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正科级</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spacing w:line="300" w:lineRule="exact"/>
              <w:jc w:val="center"/>
              <w:rPr>
                <w:rFonts w:ascii="方正书宋_GBK" w:eastAsia="方正书宋_GBK"/>
                <w:szCs w:val="21"/>
              </w:rPr>
            </w:pPr>
            <w:r>
              <w:rPr>
                <w:rFonts w:hint="eastAsia" w:ascii="方正书宋_GBK" w:eastAsia="方正书宋_GBK"/>
                <w:szCs w:val="21"/>
              </w:rPr>
              <w:t>社会事务办公室</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正科级</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spacing w:line="300" w:lineRule="exact"/>
              <w:jc w:val="center"/>
              <w:rPr>
                <w:rFonts w:ascii="方正书宋_GBK" w:eastAsia="方正书宋_GBK"/>
                <w:szCs w:val="21"/>
              </w:rPr>
            </w:pPr>
            <w:r>
              <w:rPr>
                <w:rFonts w:hint="eastAsia" w:ascii="方正书宋_GBK" w:eastAsia="方正书宋_GBK"/>
                <w:szCs w:val="21"/>
              </w:rPr>
              <w:t>经济发展办公室</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正科级</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spacing w:line="300" w:lineRule="exact"/>
              <w:jc w:val="center"/>
              <w:rPr>
                <w:rFonts w:ascii="方正书宋_GBK" w:eastAsia="方正书宋_GBK"/>
                <w:szCs w:val="21"/>
              </w:rPr>
            </w:pPr>
            <w:r>
              <w:rPr>
                <w:rFonts w:hint="eastAsia" w:ascii="方正书宋_GBK" w:eastAsia="方正书宋_GBK"/>
                <w:szCs w:val="21"/>
              </w:rPr>
              <w:t>财政所</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正科级</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spacing w:line="300" w:lineRule="exact"/>
              <w:jc w:val="center"/>
              <w:rPr>
                <w:rFonts w:ascii="方正书宋_GBK" w:eastAsia="方正书宋_GBK"/>
                <w:szCs w:val="21"/>
              </w:rPr>
            </w:pPr>
            <w:r>
              <w:rPr>
                <w:rFonts w:hint="eastAsia" w:ascii="方正书宋_GBK" w:eastAsia="方正书宋_GBK"/>
                <w:szCs w:val="21"/>
              </w:rPr>
              <w:t>王安镇计划生育服务中心</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其他</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财政性资金保证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7" w:hRule="atLeast"/>
          <w:jc w:val="center"/>
        </w:trPr>
        <w:tc>
          <w:tcPr>
            <w:tcW w:w="4847" w:type="dxa"/>
            <w:noWrap/>
            <w:vAlign w:val="center"/>
          </w:tcPr>
          <w:p>
            <w:pPr>
              <w:spacing w:line="300" w:lineRule="exact"/>
              <w:jc w:val="center"/>
              <w:rPr>
                <w:rFonts w:ascii="方正书宋_GBK" w:eastAsia="方正书宋_GBK"/>
                <w:szCs w:val="21"/>
              </w:rPr>
            </w:pPr>
            <w:r>
              <w:rPr>
                <w:rFonts w:hint="eastAsia" w:ascii="方正书宋_GBK" w:eastAsia="方正书宋_GBK"/>
                <w:szCs w:val="21"/>
              </w:rPr>
              <w:t>王安镇农林水牧综合服务中心</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其他</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财政性资金保证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2" w:hRule="atLeast"/>
          <w:jc w:val="center"/>
        </w:trPr>
        <w:tc>
          <w:tcPr>
            <w:tcW w:w="4847" w:type="dxa"/>
            <w:noWrap/>
            <w:vAlign w:val="center"/>
          </w:tcPr>
          <w:p>
            <w:pPr>
              <w:spacing w:line="300" w:lineRule="exact"/>
              <w:jc w:val="center"/>
              <w:rPr>
                <w:rFonts w:ascii="方正书宋_GBK" w:eastAsia="方正书宋_GBK"/>
                <w:szCs w:val="21"/>
              </w:rPr>
            </w:pPr>
            <w:r>
              <w:rPr>
                <w:rFonts w:hint="eastAsia" w:ascii="方正书宋_GBK" w:eastAsia="方正书宋_GBK"/>
                <w:szCs w:val="21"/>
              </w:rPr>
              <w:t>王安镇综合文化服务中心</w:t>
            </w:r>
          </w:p>
        </w:tc>
        <w:tc>
          <w:tcPr>
            <w:tcW w:w="1436" w:type="dxa"/>
            <w:noWrap/>
            <w:vAlign w:val="center"/>
          </w:tcPr>
          <w:p>
            <w:pPr>
              <w:spacing w:line="300" w:lineRule="exact"/>
              <w:jc w:val="center"/>
              <w:rPr>
                <w:rFonts w:ascii="方正书宋_GBK" w:eastAsia="方正书宋_GBK"/>
              </w:rPr>
            </w:pPr>
            <w:r>
              <w:rPr>
                <w:rFonts w:hint="eastAsia" w:ascii="方正书宋_GBK" w:eastAsia="方正书宋_GBK"/>
              </w:rPr>
              <w:t>行政</w:t>
            </w:r>
          </w:p>
        </w:tc>
        <w:tc>
          <w:tcPr>
            <w:tcW w:w="1616" w:type="dxa"/>
            <w:noWrap/>
            <w:vAlign w:val="center"/>
          </w:tcPr>
          <w:p>
            <w:pPr>
              <w:spacing w:line="300" w:lineRule="exact"/>
              <w:jc w:val="center"/>
              <w:rPr>
                <w:rFonts w:ascii="方正书宋_GBK" w:eastAsia="方正书宋_GBK"/>
              </w:rPr>
            </w:pPr>
            <w:r>
              <w:rPr>
                <w:rFonts w:hint="eastAsia" w:ascii="方正书宋_GBK" w:eastAsia="方正书宋_GBK"/>
              </w:rPr>
              <w:t>其他</w:t>
            </w:r>
          </w:p>
        </w:tc>
        <w:tc>
          <w:tcPr>
            <w:tcW w:w="2980" w:type="dxa"/>
            <w:noWrap/>
            <w:vAlign w:val="center"/>
          </w:tcPr>
          <w:p>
            <w:pPr>
              <w:spacing w:line="300" w:lineRule="exact"/>
              <w:jc w:val="center"/>
              <w:rPr>
                <w:rFonts w:ascii="方正书宋_GBK" w:eastAsia="方正书宋_GBK"/>
              </w:rPr>
            </w:pPr>
            <w:r>
              <w:rPr>
                <w:rFonts w:hint="eastAsia" w:ascii="方正书宋_GBK" w:eastAsia="方正书宋_GBK"/>
              </w:rPr>
              <w:t>财政性资金保证</w:t>
            </w:r>
          </w:p>
        </w:tc>
      </w:tr>
    </w:tbl>
    <w:p>
      <w:pPr>
        <w:pStyle w:val="8"/>
        <w:spacing w:line="520" w:lineRule="exact"/>
        <w:ind w:firstLine="0" w:firstLineChars="0"/>
        <w:rPr>
          <w:rFonts w:ascii="黑体" w:hAnsi="黑体" w:eastAsia="黑体"/>
          <w:sz w:val="32"/>
          <w:szCs w:val="32"/>
        </w:rPr>
      </w:pPr>
    </w:p>
    <w:p>
      <w:pPr>
        <w:ind w:firstLine="643" w:firstLineChars="200"/>
        <w:jc w:val="left"/>
        <w:outlineLvl w:val="0"/>
        <w:rPr>
          <w:rFonts w:hint="eastAsia" w:ascii="宋体" w:hAnsi="宋体" w:cs="宋体"/>
          <w:b/>
          <w:bCs/>
          <w:sz w:val="32"/>
          <w:szCs w:val="32"/>
        </w:rPr>
      </w:pPr>
    </w:p>
    <w:p>
      <w:pPr>
        <w:ind w:firstLine="643" w:firstLineChars="200"/>
        <w:jc w:val="left"/>
        <w:outlineLvl w:val="0"/>
        <w:rPr>
          <w:rFonts w:hint="eastAsia" w:ascii="宋体" w:hAnsi="宋体" w:cs="宋体"/>
          <w:b/>
          <w:bCs/>
          <w:sz w:val="32"/>
          <w:szCs w:val="32"/>
        </w:rPr>
      </w:pPr>
    </w:p>
    <w:p>
      <w:pPr>
        <w:ind w:firstLine="643" w:firstLineChars="200"/>
        <w:jc w:val="left"/>
        <w:outlineLvl w:val="0"/>
        <w:rPr>
          <w:rFonts w:hint="eastAsia" w:ascii="宋体" w:hAnsi="宋体" w:cs="宋体"/>
          <w:b/>
          <w:bCs/>
          <w:sz w:val="32"/>
          <w:szCs w:val="32"/>
        </w:rPr>
      </w:pPr>
    </w:p>
    <w:p>
      <w:pPr>
        <w:ind w:firstLine="643" w:firstLineChars="200"/>
        <w:jc w:val="left"/>
        <w:outlineLvl w:val="0"/>
        <w:rPr>
          <w:rFonts w:hint="eastAsia" w:ascii="宋体" w:hAnsi="宋体" w:cs="宋体"/>
          <w:b/>
          <w:bCs/>
          <w:sz w:val="32"/>
          <w:szCs w:val="32"/>
        </w:rPr>
      </w:pPr>
    </w:p>
    <w:p>
      <w:pPr>
        <w:ind w:firstLine="643" w:firstLineChars="200"/>
        <w:jc w:val="left"/>
        <w:outlineLvl w:val="0"/>
        <w:rPr>
          <w:rFonts w:hint="eastAsia" w:ascii="宋体" w:hAnsi="宋体" w:cs="宋体"/>
          <w:b/>
          <w:bCs/>
          <w:sz w:val="32"/>
          <w:szCs w:val="32"/>
        </w:rPr>
      </w:pPr>
    </w:p>
    <w:p>
      <w:pPr>
        <w:ind w:firstLine="643" w:firstLineChars="200"/>
        <w:jc w:val="left"/>
        <w:outlineLvl w:val="0"/>
        <w:rPr>
          <w:rFonts w:ascii="宋体" w:hAnsi="宋体" w:cs="宋体"/>
          <w:b/>
          <w:bCs/>
          <w:sz w:val="32"/>
          <w:szCs w:val="32"/>
        </w:rPr>
      </w:pPr>
      <w:r>
        <w:rPr>
          <w:rFonts w:hint="eastAsia" w:ascii="宋体" w:hAnsi="宋体" w:cs="宋体"/>
          <w:b/>
          <w:bCs/>
          <w:sz w:val="32"/>
          <w:szCs w:val="32"/>
        </w:rPr>
        <w:t>二、部门预算安排的总体情况</w:t>
      </w:r>
    </w:p>
    <w:p>
      <w:pPr>
        <w:ind w:firstLine="640" w:firstLineChars="200"/>
        <w:jc w:val="left"/>
        <w:outlineLvl w:val="0"/>
        <w:rPr>
          <w:rFonts w:ascii="宋体" w:hAnsi="宋体" w:cs="宋体"/>
          <w:b/>
          <w:bCs/>
          <w:sz w:val="32"/>
          <w:szCs w:val="32"/>
        </w:rPr>
      </w:pPr>
      <w:r>
        <w:rPr>
          <w:rFonts w:ascii="仿宋" w:hAnsi="仿宋" w:eastAsia="仿宋"/>
          <w:sz w:val="32"/>
          <w:szCs w:val="32"/>
        </w:rPr>
        <w:t>按照预算管理有关规定，目前我部门预算的编制实行综合预算制度，即全部收入和支出都反映</w:t>
      </w:r>
      <w:r>
        <w:rPr>
          <w:rFonts w:hint="eastAsia" w:ascii="仿宋" w:hAnsi="仿宋" w:eastAsia="仿宋"/>
          <w:sz w:val="32"/>
          <w:szCs w:val="32"/>
        </w:rPr>
        <w:t>在</w:t>
      </w:r>
      <w:r>
        <w:rPr>
          <w:rFonts w:ascii="仿宋" w:hAnsi="仿宋" w:eastAsia="仿宋"/>
          <w:sz w:val="32"/>
          <w:szCs w:val="32"/>
        </w:rPr>
        <w:t>预算中。</w:t>
      </w:r>
      <w:r>
        <w:rPr>
          <w:rFonts w:hint="eastAsia" w:ascii="仿宋" w:hAnsi="仿宋" w:eastAsia="仿宋"/>
          <w:sz w:val="32"/>
          <w:szCs w:val="32"/>
        </w:rPr>
        <w:t>涞源县王安镇人民政府</w:t>
      </w:r>
      <w:r>
        <w:rPr>
          <w:rFonts w:ascii="仿宋" w:hAnsi="仿宋" w:eastAsia="仿宋"/>
          <w:sz w:val="32"/>
          <w:szCs w:val="32"/>
        </w:rPr>
        <w:t>收支包含在部门预算中。</w:t>
      </w:r>
    </w:p>
    <w:p>
      <w:pPr>
        <w:spacing w:line="520" w:lineRule="exact"/>
        <w:ind w:firstLine="643" w:firstLineChars="200"/>
        <w:rPr>
          <w:rFonts w:ascii="仿宋" w:hAnsi="仿宋" w:eastAsia="仿宋"/>
          <w:b/>
          <w:bCs/>
          <w:sz w:val="32"/>
          <w:szCs w:val="32"/>
        </w:rPr>
      </w:pPr>
      <w:r>
        <w:rPr>
          <w:rFonts w:hint="eastAsia" w:ascii="仿宋" w:hAnsi="仿宋" w:eastAsia="仿宋"/>
          <w:b/>
          <w:bCs/>
          <w:sz w:val="32"/>
          <w:szCs w:val="32"/>
        </w:rPr>
        <w:t>1、收入说明</w:t>
      </w:r>
    </w:p>
    <w:p>
      <w:pPr>
        <w:spacing w:line="520" w:lineRule="exact"/>
        <w:ind w:firstLine="640" w:firstLineChars="200"/>
        <w:rPr>
          <w:rFonts w:ascii="仿宋" w:hAnsi="仿宋" w:eastAsia="仿宋"/>
          <w:sz w:val="32"/>
          <w:szCs w:val="32"/>
        </w:rPr>
      </w:pPr>
      <w:r>
        <w:rPr>
          <w:rFonts w:ascii="仿宋" w:hAnsi="仿宋" w:eastAsia="仿宋"/>
          <w:sz w:val="32"/>
          <w:szCs w:val="32"/>
        </w:rPr>
        <w:t>反映</w:t>
      </w:r>
      <w:r>
        <w:rPr>
          <w:rFonts w:hint="eastAsia" w:ascii="仿宋" w:hAnsi="仿宋" w:eastAsia="仿宋"/>
          <w:sz w:val="32"/>
          <w:szCs w:val="32"/>
        </w:rPr>
        <w:t>涞源县王安镇人民政府</w:t>
      </w:r>
      <w:r>
        <w:rPr>
          <w:rFonts w:ascii="仿宋" w:hAnsi="仿宋" w:eastAsia="仿宋"/>
          <w:sz w:val="32"/>
          <w:szCs w:val="32"/>
        </w:rPr>
        <w:t>当年全部收入</w:t>
      </w:r>
      <w:r>
        <w:rPr>
          <w:rFonts w:hint="eastAsia" w:ascii="仿宋" w:hAnsi="仿宋" w:eastAsia="仿宋"/>
          <w:sz w:val="32"/>
          <w:szCs w:val="32"/>
        </w:rPr>
        <w:t>。2019年涞源县王安镇人民政府年初部门收入预算总额为327.94万元。其中：一般公共预算收入327.94万元。</w:t>
      </w:r>
    </w:p>
    <w:p>
      <w:pPr>
        <w:numPr>
          <w:ilvl w:val="0"/>
          <w:numId w:val="1"/>
        </w:numPr>
        <w:spacing w:line="520" w:lineRule="exact"/>
        <w:ind w:firstLine="643" w:firstLineChars="200"/>
        <w:rPr>
          <w:rFonts w:ascii="仿宋" w:hAnsi="仿宋" w:eastAsia="仿宋"/>
          <w:b/>
          <w:bCs/>
          <w:sz w:val="32"/>
          <w:szCs w:val="32"/>
        </w:rPr>
      </w:pPr>
      <w:r>
        <w:rPr>
          <w:rFonts w:hint="eastAsia" w:ascii="仿宋" w:hAnsi="仿宋" w:eastAsia="仿宋"/>
          <w:b/>
          <w:bCs/>
          <w:sz w:val="32"/>
          <w:szCs w:val="32"/>
        </w:rPr>
        <w:t>支出说明</w:t>
      </w:r>
    </w:p>
    <w:p>
      <w:pPr>
        <w:spacing w:line="520" w:lineRule="exact"/>
        <w:ind w:firstLine="640" w:firstLineChars="200"/>
        <w:rPr>
          <w:rFonts w:ascii="仿宋" w:hAnsi="仿宋" w:eastAsia="仿宋"/>
          <w:bCs/>
          <w:sz w:val="32"/>
          <w:szCs w:val="32"/>
        </w:rPr>
      </w:pPr>
      <w:r>
        <w:rPr>
          <w:rFonts w:ascii="仿宋" w:hAnsi="仿宋" w:eastAsia="仿宋"/>
          <w:sz w:val="32"/>
          <w:szCs w:val="32"/>
        </w:rPr>
        <w:t>收支预算总表支出栏、基本支出表、项目支出表按经济分类和支出功能分类科目编制，反映</w:t>
      </w:r>
      <w:r>
        <w:rPr>
          <w:rFonts w:hint="eastAsia" w:ascii="仿宋" w:hAnsi="仿宋" w:eastAsia="仿宋"/>
          <w:sz w:val="32"/>
          <w:szCs w:val="32"/>
        </w:rPr>
        <w:t>涞源县王安镇人民政府</w:t>
      </w:r>
      <w:r>
        <w:rPr>
          <w:rFonts w:ascii="仿宋" w:hAnsi="仿宋" w:eastAsia="仿宋"/>
          <w:sz w:val="32"/>
          <w:szCs w:val="32"/>
        </w:rPr>
        <w:t>年度部门预算中支出预算的总体情况。</w:t>
      </w:r>
      <w:r>
        <w:rPr>
          <w:rFonts w:hint="eastAsia" w:ascii="仿宋" w:hAnsi="仿宋" w:eastAsia="仿宋"/>
          <w:sz w:val="32"/>
          <w:szCs w:val="32"/>
        </w:rPr>
        <w:t>2019年部门支出安排预算总额</w:t>
      </w:r>
      <w:r>
        <w:rPr>
          <w:rFonts w:hint="eastAsia" w:ascii="仿宋" w:hAnsi="仿宋" w:eastAsia="仿宋" w:cs="仿宋_GB2312"/>
          <w:color w:val="111111"/>
          <w:kern w:val="0"/>
          <w:sz w:val="32"/>
          <w:szCs w:val="32"/>
        </w:rPr>
        <w:t xml:space="preserve">327.94 </w:t>
      </w:r>
      <w:r>
        <w:rPr>
          <w:rFonts w:hint="eastAsia" w:ascii="仿宋" w:hAnsi="仿宋" w:eastAsia="仿宋"/>
          <w:sz w:val="32"/>
          <w:szCs w:val="32"/>
        </w:rPr>
        <w:t>万元。基本支出281.44万元</w:t>
      </w:r>
      <w:r>
        <w:rPr>
          <w:rFonts w:hint="eastAsia" w:ascii="仿宋" w:hAnsi="仿宋" w:eastAsia="仿宋"/>
          <w:b/>
          <w:bCs/>
          <w:sz w:val="32"/>
          <w:szCs w:val="32"/>
        </w:rPr>
        <w:t>,</w:t>
      </w:r>
      <w:r>
        <w:rPr>
          <w:rFonts w:hint="eastAsia" w:ascii="仿宋" w:hAnsi="仿宋" w:eastAsia="仿宋"/>
          <w:sz w:val="32"/>
          <w:szCs w:val="32"/>
        </w:rPr>
        <w:t xml:space="preserve">包括人员经费 </w:t>
      </w:r>
      <w:r>
        <w:rPr>
          <w:rFonts w:hint="eastAsia" w:ascii="仿宋" w:hAnsi="仿宋" w:eastAsia="仿宋" w:cs="宋体"/>
          <w:color w:val="111111"/>
          <w:kern w:val="0"/>
          <w:sz w:val="28"/>
          <w:szCs w:val="28"/>
        </w:rPr>
        <w:t>241.44</w:t>
      </w:r>
      <w:r>
        <w:rPr>
          <w:rFonts w:hint="eastAsia" w:ascii="仿宋" w:hAnsi="仿宋" w:eastAsia="仿宋"/>
          <w:sz w:val="32"/>
          <w:szCs w:val="32"/>
        </w:rPr>
        <w:t>万元</w:t>
      </w:r>
      <w:r>
        <w:rPr>
          <w:rFonts w:hint="eastAsia" w:ascii="仿宋" w:hAnsi="仿宋" w:eastAsia="仿宋"/>
          <w:bCs/>
          <w:sz w:val="32"/>
          <w:szCs w:val="32"/>
        </w:rPr>
        <w:t>和</w:t>
      </w:r>
      <w:r>
        <w:rPr>
          <w:rFonts w:hint="eastAsia" w:ascii="仿宋" w:hAnsi="仿宋" w:eastAsia="仿宋"/>
          <w:sz w:val="32"/>
          <w:szCs w:val="32"/>
        </w:rPr>
        <w:t>日常公用经费</w:t>
      </w:r>
      <w:r>
        <w:rPr>
          <w:rFonts w:hint="eastAsia" w:ascii="仿宋" w:hAnsi="仿宋" w:eastAsia="仿宋" w:cs="宋体"/>
          <w:color w:val="111111"/>
          <w:kern w:val="0"/>
          <w:sz w:val="28"/>
          <w:szCs w:val="28"/>
        </w:rPr>
        <w:t>40</w:t>
      </w:r>
      <w:r>
        <w:rPr>
          <w:rFonts w:hint="eastAsia" w:ascii="仿宋" w:hAnsi="仿宋" w:eastAsia="仿宋"/>
          <w:sz w:val="32"/>
          <w:szCs w:val="32"/>
        </w:rPr>
        <w:t>万元；项目支出</w:t>
      </w:r>
      <w:r>
        <w:rPr>
          <w:rFonts w:hint="eastAsia" w:ascii="仿宋" w:hAnsi="仿宋" w:eastAsia="仿宋" w:cs="仿宋_GB2312"/>
          <w:color w:val="111111"/>
          <w:kern w:val="0"/>
          <w:sz w:val="32"/>
          <w:szCs w:val="32"/>
        </w:rPr>
        <w:t>46.5</w:t>
      </w:r>
      <w:r>
        <w:rPr>
          <w:rFonts w:hint="eastAsia" w:ascii="仿宋" w:hAnsi="仿宋" w:eastAsia="仿宋"/>
          <w:sz w:val="32"/>
          <w:szCs w:val="32"/>
        </w:rPr>
        <w:t>万元，包括本级支出46.5万元。</w:t>
      </w:r>
    </w:p>
    <w:p>
      <w:pPr>
        <w:numPr>
          <w:ilvl w:val="0"/>
          <w:numId w:val="2"/>
        </w:numPr>
        <w:spacing w:line="520" w:lineRule="exact"/>
        <w:ind w:firstLine="643" w:firstLineChars="200"/>
        <w:rPr>
          <w:rFonts w:ascii="仿宋" w:hAnsi="仿宋" w:eastAsia="仿宋"/>
          <w:b/>
          <w:bCs/>
          <w:sz w:val="32"/>
          <w:szCs w:val="32"/>
        </w:rPr>
      </w:pPr>
      <w:r>
        <w:rPr>
          <w:rFonts w:hint="eastAsia" w:ascii="仿宋" w:hAnsi="仿宋" w:eastAsia="仿宋"/>
          <w:b/>
          <w:bCs/>
          <w:sz w:val="32"/>
          <w:szCs w:val="32"/>
        </w:rPr>
        <w:t>与上年增减情况</w:t>
      </w:r>
    </w:p>
    <w:p>
      <w:pPr>
        <w:spacing w:line="520" w:lineRule="exact"/>
        <w:ind w:firstLine="640" w:firstLineChars="200"/>
        <w:rPr>
          <w:rFonts w:ascii="仿宋" w:hAnsi="仿宋" w:eastAsia="仿宋" w:cs="仿宋"/>
          <w:sz w:val="32"/>
          <w:szCs w:val="32"/>
        </w:rPr>
      </w:pPr>
      <w:r>
        <w:rPr>
          <w:rFonts w:hint="eastAsia" w:ascii="仿宋" w:hAnsi="仿宋" w:eastAsia="仿宋" w:cs="仿宋"/>
          <w:sz w:val="32"/>
          <w:szCs w:val="32"/>
        </w:rPr>
        <w:t>本年度预算收支安排327.94万元，较上年减少58.45万元。其中：基本支出增加4.75万元；主要是增加了工资调整发放，项目支出减少63.2万元；主要是减少了农林水项目中，白求恩纪念馆设计费、祁家沟遗留问题资金等支出。</w:t>
      </w:r>
    </w:p>
    <w:p>
      <w:pPr>
        <w:spacing w:line="520" w:lineRule="exact"/>
        <w:ind w:firstLine="643" w:firstLineChars="200"/>
        <w:jc w:val="left"/>
        <w:outlineLvl w:val="0"/>
        <w:rPr>
          <w:rFonts w:hint="eastAsia" w:ascii="宋体" w:hAnsi="宋体" w:cs="宋体"/>
          <w:b/>
          <w:sz w:val="32"/>
          <w:szCs w:val="32"/>
        </w:rPr>
      </w:pPr>
    </w:p>
    <w:p>
      <w:pPr>
        <w:spacing w:line="520" w:lineRule="exact"/>
        <w:ind w:firstLine="643" w:firstLineChars="200"/>
        <w:jc w:val="left"/>
        <w:outlineLvl w:val="0"/>
        <w:rPr>
          <w:rFonts w:hint="eastAsia" w:ascii="宋体" w:hAnsi="宋体" w:cs="宋体"/>
          <w:b/>
          <w:sz w:val="32"/>
          <w:szCs w:val="32"/>
        </w:rPr>
      </w:pPr>
    </w:p>
    <w:p>
      <w:pPr>
        <w:spacing w:line="520" w:lineRule="exact"/>
        <w:ind w:firstLine="643" w:firstLineChars="200"/>
        <w:jc w:val="left"/>
        <w:outlineLvl w:val="0"/>
        <w:rPr>
          <w:rFonts w:ascii="宋体" w:hAnsi="宋体" w:cs="宋体"/>
          <w:b/>
          <w:sz w:val="32"/>
          <w:szCs w:val="32"/>
        </w:rPr>
      </w:pPr>
      <w:r>
        <w:rPr>
          <w:rFonts w:hint="eastAsia" w:ascii="宋体" w:hAnsi="宋体" w:cs="宋体"/>
          <w:b/>
          <w:sz w:val="32"/>
          <w:szCs w:val="32"/>
        </w:rPr>
        <w:t>三、机关运行经费安排情况</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cs="仿宋"/>
          <w:sz w:val="32"/>
          <w:szCs w:val="32"/>
        </w:rPr>
        <w:t>王安镇人民政府机</w:t>
      </w:r>
      <w:r>
        <w:rPr>
          <w:rFonts w:hint="eastAsia" w:ascii="仿宋" w:hAnsi="仿宋" w:eastAsia="仿宋"/>
          <w:sz w:val="32"/>
          <w:szCs w:val="32"/>
        </w:rPr>
        <w:t>关运行经费安排40万元，其中办公费9万元，电费0.7万元，邮电费1.3万元，取暖费10万元，差旅费2万元。公务用车运行维护费7万元，印刷费3万元，公务接待费7万元。</w:t>
      </w:r>
    </w:p>
    <w:p>
      <w:pPr>
        <w:spacing w:line="520" w:lineRule="exact"/>
        <w:jc w:val="center"/>
        <w:outlineLvl w:val="0"/>
        <w:rPr>
          <w:rFonts w:ascii="仿宋" w:hAnsi="仿宋" w:eastAsia="仿宋"/>
          <w:sz w:val="32"/>
          <w:szCs w:val="32"/>
        </w:rPr>
      </w:pPr>
    </w:p>
    <w:p>
      <w:pPr>
        <w:spacing w:line="520" w:lineRule="exact"/>
        <w:ind w:firstLine="643" w:firstLineChars="200"/>
        <w:jc w:val="left"/>
        <w:outlineLvl w:val="0"/>
        <w:rPr>
          <w:rFonts w:ascii="宋体" w:hAnsi="宋体" w:cs="宋体"/>
          <w:b/>
          <w:bCs/>
          <w:sz w:val="32"/>
          <w:szCs w:val="32"/>
        </w:rPr>
      </w:pPr>
      <w:r>
        <w:rPr>
          <w:rFonts w:hint="eastAsia" w:ascii="宋体" w:hAnsi="宋体" w:cs="宋体"/>
          <w:b/>
          <w:bCs/>
          <w:sz w:val="32"/>
          <w:szCs w:val="32"/>
        </w:rPr>
        <w:t>四、财政拨款“三公”经费预算情况</w:t>
      </w:r>
    </w:p>
    <w:tbl>
      <w:tblPr>
        <w:tblStyle w:val="5"/>
        <w:tblW w:w="0" w:type="auto"/>
        <w:jc w:val="center"/>
        <w:tblLayout w:type="fixed"/>
        <w:tblCellMar>
          <w:top w:w="0" w:type="dxa"/>
          <w:left w:w="108" w:type="dxa"/>
          <w:bottom w:w="0" w:type="dxa"/>
          <w:right w:w="108" w:type="dxa"/>
        </w:tblCellMar>
      </w:tblPr>
      <w:tblGrid>
        <w:gridCol w:w="2136"/>
        <w:gridCol w:w="1716"/>
        <w:gridCol w:w="1716"/>
        <w:gridCol w:w="1176"/>
        <w:gridCol w:w="3111"/>
      </w:tblGrid>
      <w:tr>
        <w:tblPrEx>
          <w:tblCellMar>
            <w:top w:w="0" w:type="dxa"/>
            <w:left w:w="108" w:type="dxa"/>
            <w:bottom w:w="0" w:type="dxa"/>
            <w:right w:w="108" w:type="dxa"/>
          </w:tblCellMar>
        </w:tblPrEx>
        <w:trPr>
          <w:trHeight w:val="405" w:hRule="atLeast"/>
          <w:jc w:val="center"/>
        </w:trPr>
        <w:tc>
          <w:tcPr>
            <w:tcW w:w="9855" w:type="dxa"/>
            <w:gridSpan w:val="5"/>
            <w:tcBorders>
              <w:top w:val="nil"/>
              <w:left w:val="nil"/>
              <w:bottom w:val="nil"/>
              <w:right w:val="nil"/>
            </w:tcBorders>
            <w:noWrap/>
            <w:vAlign w:val="center"/>
          </w:tcPr>
          <w:p>
            <w:pPr>
              <w:widowControl/>
              <w:spacing w:line="520" w:lineRule="exact"/>
              <w:ind w:firstLine="640" w:firstLineChars="200"/>
              <w:jc w:val="center"/>
              <w:rPr>
                <w:rFonts w:ascii="黑体" w:hAnsi="黑体" w:eastAsia="黑体" w:cs="宋体"/>
                <w:kern w:val="0"/>
                <w:sz w:val="32"/>
                <w:szCs w:val="32"/>
              </w:rPr>
            </w:pPr>
            <w:r>
              <w:rPr>
                <w:rFonts w:hint="eastAsia" w:ascii="黑体" w:hAnsi="黑体" w:eastAsia="黑体"/>
                <w:sz w:val="32"/>
                <w:szCs w:val="32"/>
              </w:rPr>
              <w:t>“三公”经费预算情况</w:t>
            </w:r>
          </w:p>
        </w:tc>
      </w:tr>
      <w:tr>
        <w:tblPrEx>
          <w:tblCellMar>
            <w:top w:w="0" w:type="dxa"/>
            <w:left w:w="108" w:type="dxa"/>
            <w:bottom w:w="0" w:type="dxa"/>
            <w:right w:w="108" w:type="dxa"/>
          </w:tblCellMar>
        </w:tblPrEx>
        <w:trPr>
          <w:trHeight w:val="285" w:hRule="atLeast"/>
          <w:jc w:val="center"/>
        </w:trPr>
        <w:tc>
          <w:tcPr>
            <w:tcW w:w="2136" w:type="dxa"/>
            <w:tcBorders>
              <w:top w:val="nil"/>
              <w:left w:val="nil"/>
              <w:bottom w:val="nil"/>
              <w:right w:val="nil"/>
            </w:tcBorders>
            <w:noWrap/>
            <w:vAlign w:val="center"/>
          </w:tcPr>
          <w:p>
            <w:pPr>
              <w:widowControl/>
              <w:jc w:val="left"/>
              <w:rPr>
                <w:rFonts w:ascii="宋体" w:hAnsi="宋体" w:cs="宋体"/>
                <w:kern w:val="0"/>
                <w:sz w:val="24"/>
              </w:rPr>
            </w:pPr>
          </w:p>
        </w:tc>
        <w:tc>
          <w:tcPr>
            <w:tcW w:w="1716" w:type="dxa"/>
            <w:tcBorders>
              <w:top w:val="nil"/>
              <w:left w:val="nil"/>
              <w:bottom w:val="nil"/>
              <w:right w:val="nil"/>
            </w:tcBorders>
            <w:noWrap/>
            <w:vAlign w:val="center"/>
          </w:tcPr>
          <w:p>
            <w:pPr>
              <w:widowControl/>
              <w:jc w:val="left"/>
              <w:rPr>
                <w:rFonts w:ascii="宋体" w:hAnsi="宋体" w:cs="宋体"/>
                <w:kern w:val="0"/>
                <w:sz w:val="24"/>
              </w:rPr>
            </w:pPr>
          </w:p>
        </w:tc>
        <w:tc>
          <w:tcPr>
            <w:tcW w:w="1716" w:type="dxa"/>
            <w:tcBorders>
              <w:top w:val="nil"/>
              <w:left w:val="nil"/>
              <w:bottom w:val="nil"/>
              <w:right w:val="nil"/>
            </w:tcBorders>
            <w:noWrap/>
            <w:vAlign w:val="center"/>
          </w:tcPr>
          <w:p>
            <w:pPr>
              <w:widowControl/>
              <w:jc w:val="left"/>
              <w:rPr>
                <w:rFonts w:ascii="宋体" w:hAnsi="宋体" w:cs="宋体"/>
                <w:kern w:val="0"/>
                <w:sz w:val="24"/>
              </w:rPr>
            </w:pPr>
          </w:p>
        </w:tc>
        <w:tc>
          <w:tcPr>
            <w:tcW w:w="1176" w:type="dxa"/>
            <w:tcBorders>
              <w:top w:val="nil"/>
              <w:left w:val="nil"/>
              <w:bottom w:val="nil"/>
              <w:right w:val="nil"/>
            </w:tcBorders>
            <w:noWrap/>
            <w:vAlign w:val="center"/>
          </w:tcPr>
          <w:p>
            <w:pPr>
              <w:widowControl/>
              <w:jc w:val="left"/>
              <w:rPr>
                <w:rFonts w:ascii="宋体" w:hAnsi="宋体" w:cs="宋体"/>
                <w:kern w:val="0"/>
                <w:sz w:val="24"/>
              </w:rPr>
            </w:pPr>
          </w:p>
        </w:tc>
        <w:tc>
          <w:tcPr>
            <w:tcW w:w="3111" w:type="dxa"/>
            <w:tcBorders>
              <w:top w:val="nil"/>
              <w:left w:val="nil"/>
              <w:bottom w:val="nil"/>
              <w:right w:val="nil"/>
            </w:tcBorders>
            <w:noWrap/>
            <w:vAlign w:val="center"/>
          </w:tcPr>
          <w:p>
            <w:pPr>
              <w:widowControl/>
              <w:jc w:val="right"/>
              <w:rPr>
                <w:rFonts w:ascii="宋体" w:hAnsi="宋体" w:cs="宋体"/>
                <w:kern w:val="0"/>
                <w:sz w:val="24"/>
              </w:rPr>
            </w:pPr>
            <w:r>
              <w:rPr>
                <w:rFonts w:hint="eastAsia" w:ascii="宋体" w:hAnsi="宋体" w:cs="宋体"/>
                <w:kern w:val="0"/>
                <w:sz w:val="24"/>
              </w:rPr>
              <w:t>单位：万元</w:t>
            </w:r>
          </w:p>
        </w:tc>
      </w:tr>
      <w:tr>
        <w:tblPrEx>
          <w:tblCellMar>
            <w:top w:w="0" w:type="dxa"/>
            <w:left w:w="108" w:type="dxa"/>
            <w:bottom w:w="0" w:type="dxa"/>
            <w:right w:w="108" w:type="dxa"/>
          </w:tblCellMar>
        </w:tblPrEx>
        <w:trPr>
          <w:trHeight w:val="285" w:hRule="atLeast"/>
          <w:jc w:val="center"/>
        </w:trPr>
        <w:tc>
          <w:tcPr>
            <w:tcW w:w="2136"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项目名称</w:t>
            </w:r>
          </w:p>
        </w:tc>
        <w:tc>
          <w:tcPr>
            <w:tcW w:w="1716"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2018年度预算</w:t>
            </w:r>
          </w:p>
        </w:tc>
        <w:tc>
          <w:tcPr>
            <w:tcW w:w="1716"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2019年度预算</w:t>
            </w:r>
          </w:p>
        </w:tc>
        <w:tc>
          <w:tcPr>
            <w:tcW w:w="1176"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增减金额</w:t>
            </w:r>
          </w:p>
        </w:tc>
        <w:tc>
          <w:tcPr>
            <w:tcW w:w="311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变化原因</w:t>
            </w:r>
          </w:p>
        </w:tc>
      </w:tr>
      <w:tr>
        <w:tblPrEx>
          <w:tblCellMar>
            <w:top w:w="0" w:type="dxa"/>
            <w:left w:w="108" w:type="dxa"/>
            <w:bottom w:w="0" w:type="dxa"/>
            <w:right w:w="108" w:type="dxa"/>
          </w:tblCellMar>
        </w:tblPrEx>
        <w:trPr>
          <w:trHeight w:val="285" w:hRule="atLeast"/>
          <w:jc w:val="center"/>
        </w:trPr>
        <w:tc>
          <w:tcPr>
            <w:tcW w:w="21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因公出国经费</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117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noWrap/>
            <w:vAlign w:val="center"/>
          </w:tcPr>
          <w:p>
            <w:pPr>
              <w:widowControl/>
              <w:jc w:val="left"/>
              <w:rPr>
                <w:rFonts w:ascii="宋体" w:hAnsi="宋体" w:cs="宋体"/>
                <w:kern w:val="0"/>
                <w:sz w:val="24"/>
              </w:rPr>
            </w:pPr>
            <w:r>
              <w:rPr>
                <w:rFonts w:hint="eastAsia" w:ascii="宋体" w:hAnsi="宋体" w:cs="宋体"/>
                <w:kern w:val="0"/>
                <w:sz w:val="24"/>
              </w:rPr>
              <w:t>无增减变化</w:t>
            </w:r>
          </w:p>
        </w:tc>
      </w:tr>
      <w:tr>
        <w:tblPrEx>
          <w:tblCellMar>
            <w:top w:w="0" w:type="dxa"/>
            <w:left w:w="108" w:type="dxa"/>
            <w:bottom w:w="0" w:type="dxa"/>
            <w:right w:w="108" w:type="dxa"/>
          </w:tblCellMar>
        </w:tblPrEx>
        <w:trPr>
          <w:trHeight w:val="285" w:hRule="atLeast"/>
          <w:jc w:val="center"/>
        </w:trPr>
        <w:tc>
          <w:tcPr>
            <w:tcW w:w="21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公务用车购置经费</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117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noWrap/>
            <w:vAlign w:val="center"/>
          </w:tcPr>
          <w:p>
            <w:pPr>
              <w:widowControl/>
              <w:jc w:val="left"/>
              <w:rPr>
                <w:rFonts w:ascii="宋体" w:hAnsi="宋体" w:cs="宋体"/>
                <w:kern w:val="0"/>
                <w:sz w:val="24"/>
              </w:rPr>
            </w:pPr>
            <w:r>
              <w:rPr>
                <w:rFonts w:hint="eastAsia" w:ascii="宋体" w:hAnsi="宋体" w:cs="宋体"/>
                <w:kern w:val="0"/>
                <w:sz w:val="24"/>
              </w:rPr>
              <w:t>无增减变化</w:t>
            </w:r>
          </w:p>
        </w:tc>
      </w:tr>
      <w:tr>
        <w:tblPrEx>
          <w:tblCellMar>
            <w:top w:w="0" w:type="dxa"/>
            <w:left w:w="108" w:type="dxa"/>
            <w:bottom w:w="0" w:type="dxa"/>
            <w:right w:w="108" w:type="dxa"/>
          </w:tblCellMar>
        </w:tblPrEx>
        <w:trPr>
          <w:trHeight w:val="570" w:hRule="atLeast"/>
          <w:jc w:val="center"/>
        </w:trPr>
        <w:tc>
          <w:tcPr>
            <w:tcW w:w="21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公务用车运行经费</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7</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7</w:t>
            </w:r>
          </w:p>
        </w:tc>
        <w:tc>
          <w:tcPr>
            <w:tcW w:w="117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noWrap/>
            <w:vAlign w:val="center"/>
          </w:tcPr>
          <w:p>
            <w:pPr>
              <w:widowControl/>
              <w:jc w:val="left"/>
              <w:rPr>
                <w:rFonts w:ascii="宋体" w:hAnsi="宋体" w:cs="宋体"/>
                <w:kern w:val="0"/>
                <w:sz w:val="24"/>
              </w:rPr>
            </w:pPr>
            <w:r>
              <w:rPr>
                <w:rFonts w:hint="eastAsia" w:ascii="宋体" w:hAnsi="宋体" w:cs="宋体"/>
                <w:kern w:val="0"/>
                <w:sz w:val="24"/>
              </w:rPr>
              <w:t>无增减变化</w:t>
            </w:r>
          </w:p>
        </w:tc>
      </w:tr>
      <w:tr>
        <w:tblPrEx>
          <w:tblCellMar>
            <w:top w:w="0" w:type="dxa"/>
            <w:left w:w="108" w:type="dxa"/>
            <w:bottom w:w="0" w:type="dxa"/>
            <w:right w:w="108" w:type="dxa"/>
          </w:tblCellMar>
        </w:tblPrEx>
        <w:trPr>
          <w:trHeight w:val="855" w:hRule="atLeast"/>
          <w:jc w:val="center"/>
        </w:trPr>
        <w:tc>
          <w:tcPr>
            <w:tcW w:w="21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公务接待费支出</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7</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7</w:t>
            </w:r>
          </w:p>
        </w:tc>
        <w:tc>
          <w:tcPr>
            <w:tcW w:w="117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noWrap/>
            <w:vAlign w:val="center"/>
          </w:tcPr>
          <w:p>
            <w:pPr>
              <w:widowControl/>
              <w:jc w:val="left"/>
              <w:rPr>
                <w:rFonts w:ascii="宋体" w:hAnsi="宋体" w:cs="宋体"/>
                <w:kern w:val="0"/>
                <w:sz w:val="24"/>
              </w:rPr>
            </w:pPr>
            <w:r>
              <w:rPr>
                <w:rFonts w:hint="eastAsia" w:ascii="宋体" w:hAnsi="宋体" w:cs="宋体"/>
                <w:kern w:val="0"/>
                <w:sz w:val="24"/>
              </w:rPr>
              <w:t>无增减变化</w:t>
            </w:r>
          </w:p>
        </w:tc>
      </w:tr>
      <w:tr>
        <w:tblPrEx>
          <w:tblCellMar>
            <w:top w:w="0" w:type="dxa"/>
            <w:left w:w="108" w:type="dxa"/>
            <w:bottom w:w="0" w:type="dxa"/>
            <w:right w:w="108" w:type="dxa"/>
          </w:tblCellMar>
        </w:tblPrEx>
        <w:trPr>
          <w:trHeight w:val="1140" w:hRule="atLeast"/>
          <w:jc w:val="center"/>
        </w:trPr>
        <w:tc>
          <w:tcPr>
            <w:tcW w:w="21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合计</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14</w:t>
            </w:r>
          </w:p>
        </w:tc>
        <w:tc>
          <w:tcPr>
            <w:tcW w:w="17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14</w:t>
            </w:r>
          </w:p>
        </w:tc>
        <w:tc>
          <w:tcPr>
            <w:tcW w:w="1176"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rPr>
              <w:t>0</w:t>
            </w:r>
          </w:p>
        </w:tc>
        <w:tc>
          <w:tcPr>
            <w:tcW w:w="3111" w:type="dxa"/>
            <w:tcBorders>
              <w:top w:val="nil"/>
              <w:left w:val="nil"/>
              <w:bottom w:val="single" w:color="auto" w:sz="4" w:space="0"/>
              <w:right w:val="single" w:color="auto" w:sz="4" w:space="0"/>
            </w:tcBorders>
            <w:noWrap/>
            <w:vAlign w:val="center"/>
          </w:tcPr>
          <w:p>
            <w:pPr>
              <w:widowControl/>
              <w:jc w:val="left"/>
              <w:rPr>
                <w:rFonts w:ascii="宋体" w:hAnsi="宋体" w:cs="宋体"/>
                <w:kern w:val="0"/>
                <w:sz w:val="24"/>
              </w:rPr>
            </w:pPr>
            <w:r>
              <w:rPr>
                <w:rFonts w:hint="eastAsia" w:ascii="宋体" w:hAnsi="宋体" w:cs="宋体"/>
                <w:kern w:val="0"/>
                <w:sz w:val="24"/>
              </w:rPr>
              <w:t>无增减变化</w:t>
            </w:r>
          </w:p>
        </w:tc>
      </w:tr>
    </w:tbl>
    <w:p>
      <w:pPr>
        <w:jc w:val="center"/>
        <w:outlineLvl w:val="0"/>
        <w:rPr>
          <w:rFonts w:ascii="方正小标宋_GBK" w:eastAsia="方正小标宋_GBK"/>
          <w:sz w:val="36"/>
        </w:rPr>
      </w:pPr>
    </w:p>
    <w:p>
      <w:pPr>
        <w:ind w:firstLine="643" w:firstLineChars="200"/>
        <w:jc w:val="left"/>
        <w:outlineLvl w:val="0"/>
        <w:rPr>
          <w:rFonts w:hint="eastAsia" w:ascii="宋体" w:hAnsi="宋体" w:cs="宋体"/>
          <w:b/>
          <w:bCs/>
          <w:sz w:val="32"/>
          <w:szCs w:val="32"/>
        </w:rPr>
      </w:pPr>
    </w:p>
    <w:p>
      <w:pPr>
        <w:ind w:firstLine="643" w:firstLineChars="200"/>
        <w:jc w:val="left"/>
        <w:outlineLvl w:val="0"/>
        <w:rPr>
          <w:rFonts w:hint="eastAsia" w:ascii="宋体" w:hAnsi="宋体" w:cs="宋体"/>
          <w:b/>
          <w:bCs/>
          <w:sz w:val="32"/>
          <w:szCs w:val="32"/>
        </w:rPr>
      </w:pPr>
    </w:p>
    <w:p>
      <w:pPr>
        <w:ind w:firstLine="643" w:firstLineChars="200"/>
        <w:jc w:val="left"/>
        <w:outlineLvl w:val="0"/>
        <w:rPr>
          <w:rFonts w:ascii="黑体" w:hAnsi="黑体" w:eastAsia="黑体" w:cs="黑体"/>
          <w:b/>
          <w:bCs/>
          <w:sz w:val="32"/>
          <w:szCs w:val="32"/>
        </w:rPr>
      </w:pPr>
      <w:r>
        <w:rPr>
          <w:rFonts w:hint="eastAsia" w:ascii="宋体" w:hAnsi="宋体" w:cs="宋体"/>
          <w:b/>
          <w:bCs/>
          <w:sz w:val="32"/>
          <w:szCs w:val="32"/>
        </w:rPr>
        <w:t>五、预算绩效信息</w:t>
      </w:r>
    </w:p>
    <w:p>
      <w:pPr>
        <w:ind w:firstLine="643" w:firstLineChars="200"/>
        <w:outlineLvl w:val="0"/>
        <w:rPr>
          <w:rFonts w:ascii="仿宋" w:hAnsi="仿宋" w:eastAsia="仿宋"/>
          <w:b/>
          <w:bCs/>
          <w:sz w:val="32"/>
          <w:szCs w:val="32"/>
        </w:rPr>
      </w:pPr>
      <w:r>
        <w:rPr>
          <w:rFonts w:hint="eastAsia" w:ascii="仿宋" w:hAnsi="仿宋" w:eastAsia="仿宋"/>
          <w:b/>
          <w:bCs/>
          <w:sz w:val="32"/>
          <w:szCs w:val="32"/>
        </w:rPr>
        <w:t>（一）总体绩效目标</w:t>
      </w:r>
    </w:p>
    <w:p>
      <w:pPr>
        <w:ind w:firstLine="560"/>
        <w:rPr>
          <w:rFonts w:ascii="仿宋" w:hAnsi="仿宋" w:eastAsia="仿宋"/>
          <w:sz w:val="32"/>
          <w:szCs w:val="32"/>
        </w:rPr>
      </w:pPr>
      <w:r>
        <w:rPr>
          <w:rFonts w:ascii="仿宋" w:hAnsi="仿宋" w:eastAsia="仿宋"/>
          <w:sz w:val="32"/>
          <w:szCs w:val="32"/>
        </w:rPr>
        <w:t>今年，在县委、县政府的正确领导下，我镇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ind w:firstLine="560"/>
        <w:rPr>
          <w:rFonts w:ascii="仿宋" w:hAnsi="仿宋" w:eastAsia="仿宋"/>
          <w:b/>
          <w:bCs/>
          <w:sz w:val="32"/>
          <w:szCs w:val="32"/>
        </w:rPr>
      </w:pPr>
      <w:r>
        <w:rPr>
          <w:rFonts w:ascii="仿宋" w:hAnsi="仿宋" w:eastAsia="仿宋"/>
          <w:b/>
          <w:bCs/>
          <w:sz w:val="32"/>
          <w:szCs w:val="32"/>
        </w:rPr>
        <w:t>一、抓党建夯基础，提供组织保障</w:t>
      </w:r>
    </w:p>
    <w:p>
      <w:pPr>
        <w:ind w:firstLine="560"/>
        <w:rPr>
          <w:rFonts w:ascii="仿宋" w:hAnsi="仿宋" w:eastAsia="仿宋"/>
          <w:sz w:val="32"/>
          <w:szCs w:val="32"/>
        </w:rPr>
      </w:pPr>
      <w:r>
        <w:rPr>
          <w:rFonts w:ascii="仿宋" w:hAnsi="仿宋" w:eastAsia="仿宋"/>
          <w:sz w:val="32"/>
          <w:szCs w:val="32"/>
        </w:rP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pPr>
        <w:ind w:firstLine="560"/>
        <w:rPr>
          <w:rFonts w:ascii="仿宋" w:hAnsi="仿宋" w:eastAsia="仿宋"/>
          <w:b/>
          <w:bCs/>
          <w:sz w:val="32"/>
          <w:szCs w:val="32"/>
        </w:rPr>
      </w:pPr>
      <w:r>
        <w:rPr>
          <w:rFonts w:ascii="仿宋" w:hAnsi="仿宋" w:eastAsia="仿宋"/>
          <w:b/>
          <w:bCs/>
          <w:sz w:val="32"/>
          <w:szCs w:val="32"/>
        </w:rPr>
        <w:t>二、抓扶贫强产业，推进结构调整</w:t>
      </w:r>
    </w:p>
    <w:p>
      <w:pPr>
        <w:ind w:firstLine="560"/>
        <w:rPr>
          <w:rFonts w:ascii="仿宋" w:hAnsi="仿宋" w:eastAsia="仿宋"/>
          <w:sz w:val="32"/>
          <w:szCs w:val="32"/>
        </w:rPr>
      </w:pPr>
      <w:r>
        <w:rPr>
          <w:rFonts w:ascii="仿宋" w:hAnsi="仿宋" w:eastAsia="仿宋"/>
          <w:sz w:val="32"/>
          <w:szCs w:val="32"/>
        </w:rPr>
        <w:t>按照“优势区位、整村推进、连片发展”的扶贫工作思路，抢抓机遇，进行精准扶贫，指导扶贫村结合一事一议、以工代赈、基层组织建设年等帮扶政策进行科学规划，推进重点村的扶贫项目落地实施，对所申报项目严格论证，大力发展建成特色产业带。</w:t>
      </w:r>
    </w:p>
    <w:p>
      <w:pPr>
        <w:ind w:firstLine="560"/>
        <w:rPr>
          <w:rFonts w:ascii="仿宋" w:hAnsi="仿宋" w:eastAsia="仿宋"/>
          <w:b/>
          <w:bCs/>
          <w:sz w:val="32"/>
          <w:szCs w:val="32"/>
        </w:rPr>
      </w:pPr>
      <w:r>
        <w:rPr>
          <w:rFonts w:ascii="仿宋" w:hAnsi="仿宋" w:eastAsia="仿宋"/>
          <w:b/>
          <w:bCs/>
          <w:sz w:val="32"/>
          <w:szCs w:val="32"/>
        </w:rPr>
        <w:t>三、抓民生促和谐，共享发展成果</w:t>
      </w:r>
    </w:p>
    <w:p>
      <w:pPr>
        <w:ind w:firstLine="560"/>
        <w:rPr>
          <w:rFonts w:hint="default" w:ascii="仿宋" w:hAnsi="仿宋" w:eastAsia="仿宋"/>
          <w:sz w:val="32"/>
          <w:szCs w:val="32"/>
          <w:lang w:val="en-US" w:eastAsia="zh-CN"/>
        </w:rPr>
      </w:pPr>
      <w:r>
        <w:rPr>
          <w:rFonts w:ascii="仿宋" w:hAnsi="仿宋" w:eastAsia="仿宋"/>
          <w:sz w:val="32"/>
          <w:szCs w:val="32"/>
        </w:rPr>
        <w:t>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ascii="仿宋" w:hAnsi="仿宋" w:eastAsia="仿宋"/>
          <w:sz w:val="32"/>
          <w:szCs w:val="32"/>
          <w:lang w:val="en-US" w:eastAsia="zh-CN"/>
        </w:rPr>
        <w:t>王安镇</w:t>
      </w:r>
      <w:r>
        <w:rPr>
          <w:rFonts w:ascii="仿宋" w:hAnsi="仿宋" w:eastAsia="仿宋"/>
          <w:sz w:val="32"/>
          <w:szCs w:val="32"/>
        </w:rPr>
        <w:t>。</w:t>
      </w:r>
    </w:p>
    <w:p>
      <w:pPr>
        <w:ind w:firstLine="560"/>
        <w:rPr>
          <w:rFonts w:ascii="仿宋" w:hAnsi="仿宋" w:eastAsia="仿宋"/>
          <w:b/>
          <w:bCs/>
          <w:sz w:val="32"/>
          <w:szCs w:val="32"/>
        </w:rPr>
      </w:pPr>
      <w:r>
        <w:rPr>
          <w:rFonts w:ascii="仿宋" w:hAnsi="仿宋" w:eastAsia="仿宋"/>
          <w:b/>
          <w:bCs/>
          <w:sz w:val="32"/>
          <w:szCs w:val="32"/>
        </w:rPr>
        <w:t>四、抓稳定求发展，加强社会管理</w:t>
      </w:r>
    </w:p>
    <w:p>
      <w:pPr>
        <w:ind w:firstLine="560"/>
        <w:rPr>
          <w:rFonts w:ascii="仿宋" w:hAnsi="仿宋" w:eastAsia="仿宋"/>
          <w:b/>
          <w:bCs/>
          <w:sz w:val="32"/>
          <w:szCs w:val="32"/>
        </w:rPr>
      </w:pPr>
      <w:r>
        <w:rPr>
          <w:rFonts w:ascii="仿宋" w:hAnsi="仿宋" w:eastAsia="仿宋"/>
          <w:sz w:val="32"/>
          <w:szCs w:val="32"/>
        </w:rPr>
        <w:t>树立“大综治”格局理念，将社会综合治理工作作为各项工作重中之重，落实责任、健全制度、强化措施，以建设“和谐乡村”为目标，加强创新社会管理，营造安全稳定和谐的生产生活环境。</w:t>
      </w:r>
    </w:p>
    <w:p>
      <w:pPr>
        <w:ind w:firstLine="321" w:firstLineChars="100"/>
        <w:outlineLvl w:val="0"/>
        <w:rPr>
          <w:rFonts w:ascii="仿宋" w:hAnsi="仿宋" w:eastAsia="仿宋"/>
          <w:sz w:val="32"/>
          <w:szCs w:val="32"/>
        </w:rPr>
      </w:pPr>
      <w:r>
        <w:rPr>
          <w:rFonts w:hint="eastAsia" w:ascii="仿宋" w:hAnsi="仿宋" w:eastAsia="仿宋"/>
          <w:b/>
          <w:bCs/>
          <w:sz w:val="32"/>
          <w:szCs w:val="32"/>
        </w:rPr>
        <w:t>（二）</w:t>
      </w:r>
      <w:r>
        <w:rPr>
          <w:rFonts w:hint="eastAsia" w:ascii="仿宋" w:hAnsi="仿宋" w:eastAsia="仿宋" w:cs="黑体"/>
          <w:b/>
          <w:sz w:val="32"/>
          <w:szCs w:val="32"/>
        </w:rPr>
        <w:t>职责分类绩效目标：</w:t>
      </w:r>
    </w:p>
    <w:p>
      <w:pPr>
        <w:ind w:firstLine="640" w:firstLineChars="200"/>
        <w:rPr>
          <w:rFonts w:ascii="仿宋" w:hAnsi="仿宋" w:eastAsia="仿宋"/>
          <w:sz w:val="32"/>
          <w:szCs w:val="32"/>
        </w:rPr>
      </w:pPr>
      <w:r>
        <w:rPr>
          <w:rFonts w:ascii="仿宋" w:hAnsi="仿宋" w:eastAsia="仿宋"/>
          <w:sz w:val="32"/>
          <w:szCs w:val="32"/>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ind w:firstLine="560"/>
        <w:rPr>
          <w:rFonts w:ascii="仿宋" w:hAnsi="仿宋" w:eastAsia="仿宋"/>
          <w:sz w:val="32"/>
          <w:szCs w:val="32"/>
        </w:rPr>
      </w:pPr>
      <w:r>
        <w:rPr>
          <w:rFonts w:ascii="仿宋" w:hAnsi="仿宋" w:eastAsia="仿宋"/>
          <w:sz w:val="32"/>
          <w:szCs w:val="32"/>
        </w:rP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ind w:firstLine="560"/>
        <w:rPr>
          <w:rFonts w:ascii="仿宋" w:hAnsi="仿宋" w:eastAsia="仿宋"/>
          <w:sz w:val="32"/>
          <w:szCs w:val="32"/>
        </w:rPr>
      </w:pPr>
      <w:r>
        <w:rPr>
          <w:rFonts w:ascii="仿宋" w:hAnsi="仿宋" w:eastAsia="仿宋"/>
          <w:sz w:val="32"/>
          <w:szCs w:val="32"/>
        </w:rP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ind w:firstLine="560"/>
        <w:rPr>
          <w:rFonts w:ascii="仿宋" w:hAnsi="仿宋" w:eastAsia="仿宋"/>
          <w:sz w:val="32"/>
          <w:szCs w:val="32"/>
        </w:rPr>
      </w:pPr>
      <w:r>
        <w:rPr>
          <w:rFonts w:ascii="仿宋" w:hAnsi="仿宋" w:eastAsia="仿宋"/>
          <w:sz w:val="32"/>
          <w:szCs w:val="32"/>
        </w:rPr>
        <w:t>社会事务办公室（同时挂计划生育办公室牌子）：负责乡镇的拥军</w:t>
      </w:r>
      <w:r>
        <w:rPr>
          <w:rFonts w:hint="eastAsia" w:ascii="仿宋" w:hAnsi="仿宋" w:eastAsia="仿宋"/>
          <w:sz w:val="32"/>
          <w:szCs w:val="32"/>
          <w:lang w:val="en-US" w:eastAsia="zh-CN"/>
        </w:rPr>
        <w:t>优</w:t>
      </w:r>
      <w:r>
        <w:rPr>
          <w:rFonts w:ascii="仿宋" w:hAnsi="仿宋" w:eastAsia="仿宋"/>
          <w:sz w:val="32"/>
          <w:szCs w:val="32"/>
        </w:rP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ind w:firstLine="560"/>
        <w:rPr>
          <w:rFonts w:ascii="仿宋" w:hAnsi="仿宋" w:eastAsia="仿宋"/>
          <w:sz w:val="32"/>
          <w:szCs w:val="32"/>
        </w:rPr>
      </w:pPr>
      <w:r>
        <w:rPr>
          <w:rFonts w:ascii="仿宋" w:hAnsi="仿宋" w:eastAsia="仿宋"/>
          <w:sz w:val="32"/>
          <w:szCs w:val="32"/>
        </w:rP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ind w:firstLine="560"/>
        <w:rPr>
          <w:rFonts w:ascii="仿宋" w:hAnsi="仿宋" w:eastAsia="仿宋"/>
          <w:sz w:val="32"/>
          <w:szCs w:val="32"/>
        </w:rPr>
      </w:pPr>
      <w:r>
        <w:rPr>
          <w:rFonts w:ascii="仿宋" w:hAnsi="仿宋" w:eastAsia="仿宋"/>
          <w:sz w:val="32"/>
          <w:szCs w:val="32"/>
        </w:rPr>
        <w:t>财政所：负责乡镇财政预算及执行，监管乡镇、村专项资金的使用，开展绩效分析，搞好定期定补人员的管理。</w:t>
      </w:r>
    </w:p>
    <w:p>
      <w:pPr>
        <w:ind w:firstLine="560"/>
        <w:rPr>
          <w:rFonts w:ascii="仿宋" w:hAnsi="仿宋" w:eastAsia="仿宋"/>
          <w:sz w:val="32"/>
          <w:szCs w:val="32"/>
        </w:rPr>
      </w:pPr>
      <w:r>
        <w:rPr>
          <w:rFonts w:ascii="仿宋" w:hAnsi="仿宋" w:eastAsia="仿宋"/>
          <w:sz w:val="32"/>
          <w:szCs w:val="32"/>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ind w:firstLine="560"/>
        <w:rPr>
          <w:rFonts w:ascii="仿宋" w:hAnsi="仿宋" w:eastAsia="仿宋"/>
          <w:sz w:val="32"/>
          <w:szCs w:val="32"/>
        </w:rPr>
      </w:pPr>
      <w:r>
        <w:rPr>
          <w:rFonts w:ascii="仿宋" w:hAnsi="仿宋" w:eastAsia="仿宋"/>
          <w:sz w:val="32"/>
          <w:szCs w:val="32"/>
        </w:rPr>
        <w:t>计划生育服务中心：贯彻执行计划生育基本国策，控制人口增长，提供生殖健康服务。</w:t>
      </w:r>
    </w:p>
    <w:p>
      <w:pPr>
        <w:ind w:firstLine="560"/>
        <w:rPr>
          <w:rFonts w:ascii="仿宋" w:hAnsi="仿宋" w:eastAsia="仿宋"/>
          <w:sz w:val="32"/>
          <w:szCs w:val="32"/>
        </w:rPr>
      </w:pPr>
      <w:r>
        <w:rPr>
          <w:rFonts w:ascii="仿宋" w:hAnsi="仿宋" w:eastAsia="仿宋"/>
          <w:sz w:val="32"/>
          <w:szCs w:val="32"/>
        </w:rPr>
        <w:t>综合文化服务中心：推进农村宣传文化事业发展，活跃农民精神文化生活，开展好农村精神文明建设工作。推进乡镇农村科技、文化、体育等各项社会事业的进步，全面促进各项社会事业健康有序发展。</w:t>
      </w:r>
    </w:p>
    <w:p>
      <w:pPr>
        <w:jc w:val="center"/>
        <w:outlineLvl w:val="0"/>
        <w:rPr>
          <w:rFonts w:ascii="仿宋" w:hAnsi="仿宋" w:eastAsia="仿宋" w:cs="黑体"/>
          <w:sz w:val="32"/>
        </w:rPr>
      </w:pPr>
    </w:p>
    <w:p>
      <w:pPr>
        <w:outlineLvl w:val="0"/>
        <w:rPr>
          <w:rFonts w:ascii="黑体" w:hAnsi="黑体" w:eastAsia="黑体" w:cs="黑体"/>
          <w:sz w:val="32"/>
        </w:rPr>
        <w:sectPr>
          <w:pgSz w:w="16838" w:h="11905" w:orient="landscape"/>
          <w:pgMar w:top="1134" w:right="1531" w:bottom="1134" w:left="1474" w:header="851" w:footer="992" w:gutter="0"/>
          <w:cols w:space="0" w:num="1"/>
          <w:docGrid w:type="lines" w:linePitch="321" w:charSpace="0"/>
        </w:sectPr>
      </w:pPr>
    </w:p>
    <w:p>
      <w:pPr>
        <w:numPr>
          <w:ilvl w:val="0"/>
          <w:numId w:val="3"/>
        </w:numPr>
        <w:jc w:val="center"/>
        <w:outlineLvl w:val="0"/>
        <w:rPr>
          <w:rFonts w:ascii="方正小标宋_GBK" w:eastAsia="方正小标宋_GBK"/>
          <w:color w:val="FFFFFF"/>
          <w:sz w:val="32"/>
        </w:rPr>
      </w:pPr>
      <w:r>
        <w:rPr>
          <w:rFonts w:hint="eastAsia" w:ascii="黑体" w:hAnsi="黑体" w:eastAsia="黑体" w:cs="黑体"/>
          <w:sz w:val="32"/>
        </w:rPr>
        <w:t>部门职责-工作活动绩效目标</w:t>
      </w:r>
      <w:bookmarkStart w:id="0" w:name="_Toc1322524"/>
      <w:r>
        <w:rPr>
          <w:rStyle w:val="7"/>
          <w:rFonts w:ascii="方正小标宋_GBK" w:eastAsia="方正小标宋_GBK"/>
          <w:color w:val="FFFFFF"/>
          <w:sz w:val="32"/>
        </w:rPr>
        <w:footnoteReference w:id="0" w:customMarkFollows="1"/>
        <w:sym w:font="Symbol" w:char="F020"/>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noWrap/>
            <w:vAlign w:val="center"/>
          </w:tcPr>
          <w:p>
            <w:pPr>
              <w:spacing w:line="300" w:lineRule="exact"/>
              <w:jc w:val="left"/>
              <w:rPr>
                <w:rFonts w:ascii="方正小标宋_GBK" w:eastAsia="方正小标宋_GBK"/>
                <w:sz w:val="24"/>
              </w:rPr>
            </w:pPr>
            <w:r>
              <w:rPr>
                <w:rFonts w:ascii="方正小标宋_GBK" w:eastAsia="方正小标宋_GBK"/>
                <w:sz w:val="24"/>
              </w:rPr>
              <w:t>984</w:t>
            </w:r>
            <w:r>
              <w:rPr>
                <w:rFonts w:hint="eastAsia" w:ascii="方正小标宋_GBK" w:eastAsia="方正小标宋_GBK"/>
                <w:sz w:val="24"/>
              </w:rPr>
              <w:t>涞源县王安镇人民政府</w:t>
            </w:r>
          </w:p>
        </w:tc>
        <w:tc>
          <w:tcPr>
            <w:tcW w:w="2948" w:type="dxa"/>
            <w:gridSpan w:val="4"/>
            <w:tcBorders>
              <w:top w:val="single" w:color="FFFFFF" w:sz="6" w:space="0"/>
              <w:left w:val="single" w:color="FFFFFF" w:sz="6" w:space="0"/>
              <w:right w:val="single" w:color="FFFFFF" w:sz="6" w:space="0"/>
            </w:tcBorders>
            <w:noWrap/>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noWrap/>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noWrap/>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noWrap/>
            <w:vAlign w:val="center"/>
          </w:tcPr>
          <w:p>
            <w:pPr>
              <w:spacing w:line="300" w:lineRule="exact"/>
              <w:jc w:val="left"/>
              <w:outlineLvl w:val="0"/>
            </w:pPr>
          </w:p>
        </w:tc>
        <w:tc>
          <w:tcPr>
            <w:tcW w:w="1276" w:type="dxa"/>
            <w:vMerge w:val="continue"/>
            <w:noWrap/>
            <w:vAlign w:val="center"/>
          </w:tcPr>
          <w:p>
            <w:pPr>
              <w:spacing w:line="300" w:lineRule="exact"/>
              <w:jc w:val="left"/>
              <w:outlineLvl w:val="0"/>
            </w:pPr>
          </w:p>
        </w:tc>
        <w:tc>
          <w:tcPr>
            <w:tcW w:w="2976" w:type="dxa"/>
            <w:vMerge w:val="continue"/>
            <w:noWrap/>
            <w:vAlign w:val="center"/>
          </w:tcPr>
          <w:p>
            <w:pPr>
              <w:spacing w:line="300" w:lineRule="exact"/>
              <w:jc w:val="left"/>
              <w:outlineLvl w:val="0"/>
            </w:pPr>
          </w:p>
        </w:tc>
        <w:tc>
          <w:tcPr>
            <w:tcW w:w="2976" w:type="dxa"/>
            <w:vMerge w:val="continue"/>
            <w:noWrap/>
            <w:vAlign w:val="center"/>
          </w:tcPr>
          <w:p>
            <w:pPr>
              <w:spacing w:line="300" w:lineRule="exact"/>
              <w:jc w:val="left"/>
              <w:outlineLvl w:val="0"/>
            </w:pPr>
          </w:p>
        </w:tc>
        <w:tc>
          <w:tcPr>
            <w:tcW w:w="1417" w:type="dxa"/>
            <w:vMerge w:val="continue"/>
            <w:noWrap/>
            <w:vAlign w:val="center"/>
          </w:tcPr>
          <w:p>
            <w:pPr>
              <w:spacing w:line="300" w:lineRule="exact"/>
              <w:jc w:val="left"/>
              <w:outlineLvl w:val="0"/>
            </w:pPr>
          </w:p>
        </w:tc>
        <w:tc>
          <w:tcPr>
            <w:tcW w:w="737" w:type="dxa"/>
            <w:noWrap/>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noWrap/>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noWrap/>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noWrap/>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一、基层政权建设</w:t>
            </w:r>
          </w:p>
        </w:tc>
        <w:tc>
          <w:tcPr>
            <w:tcW w:w="1276" w:type="dxa"/>
            <w:noWrap/>
            <w:vAlign w:val="center"/>
          </w:tcPr>
          <w:p>
            <w:pPr>
              <w:spacing w:line="300" w:lineRule="exact"/>
              <w:jc w:val="left"/>
              <w:rPr>
                <w:rFonts w:ascii="方正书宋_GBK" w:eastAsia="方正书宋_GBK"/>
              </w:rPr>
            </w:pPr>
            <w:r>
              <w:rPr>
                <w:rFonts w:ascii="方正书宋_GBK" w:eastAsia="方正书宋_GBK"/>
              </w:rPr>
              <w:t>3.00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宣传贯彻执行党的路线、方针、政策和国家的法律法规，执行本级人民代表大会的决议和上级国家行政机关的决定和命令。</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乡镇要按照建设</w:t>
            </w:r>
            <w:r>
              <w:rPr>
                <w:rFonts w:hint="cs" w:ascii="方正书宋_GBK" w:eastAsia="方正书宋_GBK"/>
                <w:cs/>
              </w:rPr>
              <w:t>“</w:t>
            </w:r>
            <w:r>
              <w:rPr>
                <w:rFonts w:hint="eastAsia" w:ascii="方正书宋_GBK" w:eastAsia="方正书宋_GBK"/>
              </w:rPr>
              <w:t>生产发展、生活宽裕、乡风文明、村容整洁、管理民主</w:t>
            </w:r>
            <w:r>
              <w:rPr>
                <w:rFonts w:hint="cs" w:ascii="方正书宋_GBK" w:eastAsia="方正书宋_GBK"/>
                <w:cs/>
              </w:rPr>
              <w:t>”</w:t>
            </w:r>
            <w:r>
              <w:rPr>
                <w:rFonts w:hint="eastAsia" w:ascii="方正书宋_GBK" w:eastAsia="方正书宋_GBK"/>
              </w:rPr>
              <w:t>的社会主义新农村的要求，全面推进农村的经济、政治、文化、社会和经济发展。</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、加强基层政权建设</w:t>
            </w:r>
          </w:p>
        </w:tc>
        <w:tc>
          <w:tcPr>
            <w:tcW w:w="1276" w:type="dxa"/>
            <w:noWrap/>
            <w:vAlign w:val="center"/>
          </w:tcPr>
          <w:p>
            <w:pPr>
              <w:spacing w:line="300" w:lineRule="exact"/>
              <w:jc w:val="left"/>
              <w:rPr>
                <w:rFonts w:ascii="方正书宋_GBK" w:eastAsia="方正书宋_GBK"/>
              </w:rPr>
            </w:pPr>
            <w:r>
              <w:rPr>
                <w:rFonts w:ascii="方正书宋_GBK" w:eastAsia="方正书宋_GBK"/>
              </w:rPr>
              <w:t>3.00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促进经济发展，加强社会管理，提供公共服务，维护农村稳定。</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抓住经济发展这个第一要务，加强社会管理和公共服务职能，逐步实现由管理型向服务型转变，努力建设服务型、法制型政府，更好为</w:t>
            </w:r>
            <w:r>
              <w:rPr>
                <w:rFonts w:hint="cs" w:ascii="方正书宋_GBK" w:eastAsia="方正书宋_GBK"/>
                <w:cs/>
              </w:rPr>
              <w:t>“</w:t>
            </w:r>
            <w:r>
              <w:rPr>
                <w:rFonts w:hint="eastAsia" w:ascii="方正书宋_GBK" w:eastAsia="方正书宋_GBK"/>
              </w:rPr>
              <w:t>三农</w:t>
            </w:r>
            <w:r>
              <w:rPr>
                <w:rFonts w:hint="cs" w:ascii="方正书宋_GBK" w:eastAsia="方正书宋_GBK"/>
                <w:cs/>
              </w:rPr>
              <w:t>”</w:t>
            </w:r>
            <w:r>
              <w:rPr>
                <w:rFonts w:hint="eastAsia" w:ascii="方正书宋_GBK" w:eastAsia="方正书宋_GBK"/>
              </w:rPr>
              <w:t>服务。</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强化基层政权建设，大力提升乡镇经济发展的水平。</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极强</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强</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一般</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二、党组织建设和基层民主整治建设。</w:t>
            </w:r>
          </w:p>
        </w:tc>
        <w:tc>
          <w:tcPr>
            <w:tcW w:w="1276" w:type="dxa"/>
            <w:noWrap/>
            <w:vAlign w:val="center"/>
          </w:tcPr>
          <w:p>
            <w:pPr>
              <w:spacing w:line="300" w:lineRule="exact"/>
              <w:jc w:val="left"/>
              <w:rPr>
                <w:rFonts w:ascii="方正书宋_GBK" w:eastAsia="方正书宋_GBK"/>
              </w:rPr>
            </w:pPr>
            <w:r>
              <w:rPr>
                <w:rFonts w:ascii="方正书宋_GBK" w:eastAsia="方正书宋_GBK"/>
              </w:rPr>
              <w:t>1.00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搞好农村党组织建设和基层民主政治建设。</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保障法律法规赋予公民的基本权利，负责基层</w:t>
            </w:r>
            <w:r>
              <w:rPr>
                <w:rFonts w:hint="eastAsia" w:ascii="方正书宋_GBK" w:eastAsia="方正书宋_GBK"/>
                <w:lang w:eastAsia="zh-CN"/>
              </w:rPr>
              <w:t>党</w:t>
            </w:r>
            <w:bookmarkStart w:id="1" w:name="_GoBack"/>
            <w:bookmarkEnd w:id="1"/>
            <w:r>
              <w:rPr>
                <w:rFonts w:hint="eastAsia" w:ascii="方正书宋_GBK" w:eastAsia="方正书宋_GBK"/>
              </w:rPr>
              <w:t>支部书记及支部委员的培训和管理。</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、抓好基层党组织组织建设和法治建设。</w:t>
            </w:r>
          </w:p>
        </w:tc>
        <w:tc>
          <w:tcPr>
            <w:tcW w:w="1276" w:type="dxa"/>
            <w:noWrap/>
            <w:vAlign w:val="center"/>
          </w:tcPr>
          <w:p>
            <w:pPr>
              <w:spacing w:line="300" w:lineRule="exact"/>
              <w:jc w:val="left"/>
              <w:rPr>
                <w:rFonts w:ascii="方正书宋_GBK" w:eastAsia="方正书宋_GBK"/>
              </w:rPr>
            </w:pPr>
            <w:r>
              <w:rPr>
                <w:rFonts w:ascii="方正书宋_GBK" w:eastAsia="方正书宋_GBK"/>
              </w:rPr>
              <w:t>1.00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抓好基层党组织建设和基层民主政治建设，保障法律法规赋予公民的基本权利。</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基层党组织战斗力强、民主政治建设制度健全。</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基层党组织战斗力、民主政治建设制度健全。</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极强</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强</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一般</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三、指导、协调、联络工作。</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协调与其他单位、部门单位之间的关系。</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保障对人大、武装、群团、政协及派驻乡各类机构的工作、指导及协调，保障乡总体情况的综合与统计、文秘、文书档案管理及上报下达工作及纪检监察与人民武装等工作的顺利进行。</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、协调各单位、各部门之间的关系。</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保障人大、武装、纪检监察等各项工作顺利开展。</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各项工作任务顺利完成。</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满意度率。</w:t>
            </w:r>
          </w:p>
        </w:tc>
        <w:tc>
          <w:tcPr>
            <w:tcW w:w="737" w:type="dxa"/>
            <w:noWrap/>
            <w:vAlign w:val="center"/>
          </w:tcPr>
          <w:p>
            <w:pPr>
              <w:spacing w:line="300" w:lineRule="exact"/>
              <w:jc w:val="center"/>
              <w:rPr>
                <w:rFonts w:ascii="方正书宋_GBK" w:eastAsia="方正书宋_GBK"/>
              </w:rPr>
            </w:pPr>
            <w:r>
              <w:rPr>
                <w:rFonts w:ascii="方正书宋_GBK" w:eastAsia="方正书宋_GBK"/>
              </w:rPr>
              <w:t>95%</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65%</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四、信访、维稳及乡村法制建设。</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建立完善协调联动机制，建立健全调解防范体制，完善村、乡两级组织，充分发挥村级自治和司法解释的作用。</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及时有效处理群众来信来访，调查社情民意，扶持弱势群众，加强重点监管，搞好农村矛盾纠纷的排查调处，加强社会治安综合治理，维护社会安全秩序，妥善处理突发性群体事件，协助司法机关打击各类刑事犯罪活动。</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、处理来信来访、加强法制建设。</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及时有效的了解民情民意、扶持弱势群众，加强社会治安管理，维护社会安定秩序。</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处理群众来信来访，社会综合治理达到群众满意。</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737" w:type="dxa"/>
            <w:noWrap/>
            <w:vAlign w:val="center"/>
          </w:tcPr>
          <w:p>
            <w:pPr>
              <w:spacing w:line="300" w:lineRule="exact"/>
              <w:jc w:val="center"/>
              <w:rPr>
                <w:rFonts w:ascii="方正书宋_GBK" w:eastAsia="方正书宋_GBK"/>
              </w:rPr>
            </w:pPr>
            <w:r>
              <w:rPr>
                <w:rFonts w:ascii="方正书宋_GBK" w:eastAsia="方正书宋_GBK"/>
              </w:rPr>
              <w:t>95%</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65%</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五、制定产业规划，调整发展模式，发展村级经济。</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科学制定本乡产业规划，谋划适应乡镇实际的发展模式，并组织实施。</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、制定产业规划，培育和发展农民专业合作组织和中介组织。</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壮大第二、第三产业，增强农村集体经济组织经济实力。</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农村集体经济实力明显增强。</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经济实力增长率。</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很满意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基本满意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六、乡村财政资金管理。</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加强乡村财政资金管理。</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负责本级财务管理工作指导、监督各村管好用好集体资金，负责城镇建设的有关职责。</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、指导各村管好用好集体资金。</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负责指导监督各村管好用好各项集体资金。</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农村集体资金能够做到合法、合理利用。</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资金合法、合理、有效利用率。</w:t>
            </w:r>
          </w:p>
        </w:tc>
        <w:tc>
          <w:tcPr>
            <w:tcW w:w="737" w:type="dxa"/>
            <w:noWrap/>
            <w:vAlign w:val="center"/>
          </w:tcPr>
          <w:p>
            <w:pPr>
              <w:spacing w:line="300" w:lineRule="exact"/>
              <w:jc w:val="center"/>
              <w:rPr>
                <w:rFonts w:ascii="方正书宋_GBK" w:eastAsia="方正书宋_GBK"/>
              </w:rPr>
            </w:pPr>
            <w:r>
              <w:rPr>
                <w:rFonts w:ascii="方正书宋_GBK" w:eastAsia="方正书宋_GBK"/>
              </w:rPr>
              <w:t>95%</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65%</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七、社会事务管理和社会保障。</w:t>
            </w:r>
          </w:p>
        </w:tc>
        <w:tc>
          <w:tcPr>
            <w:tcW w:w="1276" w:type="dxa"/>
            <w:noWrap/>
            <w:vAlign w:val="center"/>
          </w:tcPr>
          <w:p>
            <w:pPr>
              <w:spacing w:line="300" w:lineRule="exact"/>
              <w:jc w:val="left"/>
              <w:rPr>
                <w:rFonts w:ascii="方正书宋_GBK" w:eastAsia="方正书宋_GBK"/>
              </w:rPr>
            </w:pPr>
            <w:r>
              <w:rPr>
                <w:rFonts w:ascii="方正书宋_GBK" w:eastAsia="方正书宋_GBK"/>
              </w:rPr>
              <w:t>37.75</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协助县直有关部门做好农村社会保障工作，建立健全农村合作医疗、低保、救济等制度，搞好优抚工作，解除农民后顾之忧。</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加强对农村劳动力的职业培训，扩大农村富余劳动力就业；协助县直有关部门做好公共事业管理工作；</w:t>
            </w:r>
            <w:r>
              <w:rPr>
                <w:rFonts w:hint="eastAsia" w:ascii="方正书宋_GBK" w:eastAsia="方正书宋_GBK"/>
                <w:lang w:eastAsia="zh-CN"/>
              </w:rPr>
              <w:t>拥军优属</w:t>
            </w:r>
            <w:r>
              <w:rPr>
                <w:rFonts w:hint="eastAsia" w:ascii="方正书宋_GBK" w:eastAsia="方正书宋_GBK"/>
              </w:rPr>
              <w:t>、救灾扶贫，妥善安置残疾人就业，负责殡葬改革工作，指导村民委员会的建设和换届选举工作。</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、就业及劳动技能培训。</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加强对农村劳动力的职业培训，扩大农村富余劳动力就业。</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农村富余劳动力就业率高。</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农村富余劳动力就业率。</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70%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60%</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、社会事务管理</w:t>
            </w:r>
          </w:p>
        </w:tc>
        <w:tc>
          <w:tcPr>
            <w:tcW w:w="1276" w:type="dxa"/>
            <w:noWrap/>
            <w:vAlign w:val="center"/>
          </w:tcPr>
          <w:p>
            <w:pPr>
              <w:spacing w:line="300" w:lineRule="exact"/>
              <w:jc w:val="left"/>
              <w:rPr>
                <w:rFonts w:ascii="方正书宋_GBK" w:eastAsia="方正书宋_GBK"/>
              </w:rPr>
            </w:pPr>
            <w:r>
              <w:rPr>
                <w:rFonts w:ascii="方正书宋_GBK" w:eastAsia="方正书宋_GBK"/>
              </w:rPr>
              <w:t>32.00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协助县直有关部门做好公共事业管理工作；</w:t>
            </w:r>
            <w:r>
              <w:rPr>
                <w:rFonts w:hint="eastAsia" w:ascii="方正书宋_GBK" w:eastAsia="方正书宋_GBK"/>
                <w:lang w:eastAsia="zh-CN"/>
              </w:rPr>
              <w:t>拥军优属</w:t>
            </w:r>
            <w:r>
              <w:rPr>
                <w:rFonts w:hint="eastAsia" w:ascii="方正书宋_GBK" w:eastAsia="方正书宋_GBK"/>
              </w:rPr>
              <w:t>、救灾扶贫，妥善安置残疾人就业，负责殡葬改革工作，指导村民委员会的建设和换届选举工作。。</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群众对社保工作满意。</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群众对社保工作满意。</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70%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60%</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、防火、防汛</w:t>
            </w:r>
          </w:p>
        </w:tc>
        <w:tc>
          <w:tcPr>
            <w:tcW w:w="1276" w:type="dxa"/>
            <w:vMerge w:val="restart"/>
            <w:noWrap/>
            <w:vAlign w:val="center"/>
          </w:tcPr>
          <w:p>
            <w:pPr>
              <w:spacing w:line="300" w:lineRule="exact"/>
              <w:jc w:val="left"/>
              <w:rPr>
                <w:rFonts w:ascii="方正书宋_GBK" w:eastAsia="方正书宋_GBK"/>
              </w:rPr>
            </w:pPr>
            <w:r>
              <w:rPr>
                <w:rFonts w:ascii="方正书宋_GBK" w:eastAsia="方正书宋_GBK"/>
              </w:rPr>
              <w:t>3.00</w:t>
            </w:r>
          </w:p>
        </w:tc>
        <w:tc>
          <w:tcPr>
            <w:tcW w:w="2976" w:type="dxa"/>
            <w:vMerge w:val="restart"/>
            <w:noWrap/>
            <w:vAlign w:val="center"/>
          </w:tcPr>
          <w:p>
            <w:pPr>
              <w:spacing w:line="300" w:lineRule="exact"/>
              <w:jc w:val="left"/>
              <w:rPr>
                <w:rFonts w:ascii="方正书宋_GBK" w:eastAsia="方正书宋_GBK"/>
              </w:rPr>
            </w:pPr>
            <w:r>
              <w:rPr>
                <w:rFonts w:hint="eastAsia" w:ascii="方正书宋_GBK" w:eastAsia="方正书宋_GBK"/>
              </w:rPr>
              <w:t>反映辖区内预防扑救火灾、自然旱灾害等发生支出</w:t>
            </w:r>
          </w:p>
        </w:tc>
        <w:tc>
          <w:tcPr>
            <w:tcW w:w="2976" w:type="dxa"/>
            <w:vMerge w:val="restart"/>
            <w:noWrap/>
            <w:vAlign w:val="center"/>
          </w:tcPr>
          <w:p>
            <w:pPr>
              <w:spacing w:line="300" w:lineRule="exact"/>
              <w:jc w:val="left"/>
              <w:rPr>
                <w:rFonts w:ascii="方正书宋_GBK" w:eastAsia="方正书宋_GBK"/>
              </w:rPr>
            </w:pPr>
            <w:r>
              <w:rPr>
                <w:rFonts w:hint="eastAsia" w:ascii="方正书宋_GBK" w:eastAsia="方正书宋_GBK"/>
              </w:rPr>
              <w:t>防汛指标</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非常满意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一般满意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noWrap/>
            <w:vAlign w:val="center"/>
          </w:tcPr>
          <w:p>
            <w:pPr>
              <w:spacing w:line="300" w:lineRule="exact"/>
              <w:jc w:val="left"/>
              <w:rPr>
                <w:rFonts w:ascii="方正书宋_GBK" w:eastAsia="方正书宋_GBK"/>
                <w:b/>
              </w:rPr>
            </w:pPr>
          </w:p>
        </w:tc>
        <w:tc>
          <w:tcPr>
            <w:tcW w:w="1276" w:type="dxa"/>
            <w:vMerge w:val="continue"/>
            <w:noWrap/>
            <w:vAlign w:val="center"/>
          </w:tcPr>
          <w:p>
            <w:pPr>
              <w:spacing w:line="300" w:lineRule="exact"/>
              <w:jc w:val="left"/>
              <w:rPr>
                <w:rFonts w:ascii="方正书宋_GBK" w:eastAsia="方正书宋_GBK"/>
              </w:rPr>
            </w:pPr>
          </w:p>
        </w:tc>
        <w:tc>
          <w:tcPr>
            <w:tcW w:w="2976" w:type="dxa"/>
            <w:vMerge w:val="continue"/>
            <w:noWrap/>
            <w:vAlign w:val="center"/>
          </w:tcPr>
          <w:p>
            <w:pPr>
              <w:spacing w:line="300" w:lineRule="exact"/>
              <w:jc w:val="left"/>
              <w:rPr>
                <w:rFonts w:ascii="方正书宋_GBK" w:eastAsia="方正书宋_GBK"/>
              </w:rPr>
            </w:pPr>
          </w:p>
        </w:tc>
        <w:tc>
          <w:tcPr>
            <w:tcW w:w="2976" w:type="dxa"/>
            <w:vMerge w:val="continue"/>
            <w:noWrap/>
            <w:vAlign w:val="center"/>
          </w:tcPr>
          <w:p>
            <w:pPr>
              <w:spacing w:line="300" w:lineRule="exact"/>
              <w:jc w:val="left"/>
              <w:rPr>
                <w:rFonts w:ascii="方正书宋_GBK" w:eastAsia="方正书宋_GBK"/>
              </w:rPr>
            </w:pP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非常满意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一般满意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4</w:t>
            </w:r>
            <w:r>
              <w:rPr>
                <w:rFonts w:hint="eastAsia" w:ascii="方正书宋_GBK" w:eastAsia="方正书宋_GBK"/>
                <w:b/>
              </w:rPr>
              <w:t>、民政事务</w:t>
            </w:r>
          </w:p>
        </w:tc>
        <w:tc>
          <w:tcPr>
            <w:tcW w:w="1276" w:type="dxa"/>
            <w:noWrap/>
            <w:vAlign w:val="center"/>
          </w:tcPr>
          <w:p>
            <w:pPr>
              <w:spacing w:line="300" w:lineRule="exact"/>
              <w:jc w:val="left"/>
              <w:rPr>
                <w:rFonts w:ascii="方正书宋_GBK" w:eastAsia="方正书宋_GBK"/>
              </w:rPr>
            </w:pPr>
            <w:r>
              <w:rPr>
                <w:rFonts w:ascii="方正书宋_GBK" w:eastAsia="方正书宋_GBK"/>
              </w:rPr>
              <w:t>0.75</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反映民政部门接待来访、政策宣传方面的支出</w:t>
            </w:r>
          </w:p>
        </w:tc>
        <w:tc>
          <w:tcPr>
            <w:tcW w:w="2976" w:type="dxa"/>
            <w:noWrap/>
            <w:vAlign w:val="center"/>
          </w:tcPr>
          <w:p>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群众满意度</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效果</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非常满意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基本满意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满意</w:t>
            </w:r>
            <w:r>
              <w:rPr>
                <w:rFonts w:ascii="方正书宋_GBK" w:eastAsia="方正书宋_GBK"/>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5</w:t>
            </w:r>
            <w:r>
              <w:rPr>
                <w:rFonts w:hint="eastAsia" w:ascii="方正书宋_GBK" w:eastAsia="方正书宋_GBK"/>
                <w:b/>
              </w:rPr>
              <w:t>、农村环境保护</w:t>
            </w:r>
          </w:p>
        </w:tc>
        <w:tc>
          <w:tcPr>
            <w:tcW w:w="1276" w:type="dxa"/>
            <w:noWrap/>
            <w:vAlign w:val="center"/>
          </w:tcPr>
          <w:p>
            <w:pPr>
              <w:spacing w:line="300" w:lineRule="exact"/>
              <w:jc w:val="left"/>
              <w:rPr>
                <w:rFonts w:ascii="方正书宋_GBK" w:eastAsia="方正书宋_GBK"/>
              </w:rPr>
            </w:pPr>
            <w:r>
              <w:rPr>
                <w:rFonts w:ascii="方正书宋_GBK" w:eastAsia="方正书宋_GBK"/>
              </w:rPr>
              <w:t>2.00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反映用于农村环境保护方面的支出</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农村环境治理</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70%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60%</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八、卫生与计划生育</w:t>
            </w:r>
          </w:p>
        </w:tc>
        <w:tc>
          <w:tcPr>
            <w:tcW w:w="1276" w:type="dxa"/>
            <w:noWrap/>
            <w:vAlign w:val="center"/>
          </w:tcPr>
          <w:p>
            <w:pPr>
              <w:spacing w:line="300" w:lineRule="exact"/>
              <w:jc w:val="left"/>
              <w:rPr>
                <w:rFonts w:ascii="方正书宋_GBK" w:eastAsia="方正书宋_GBK"/>
              </w:rPr>
            </w:pPr>
            <w:r>
              <w:rPr>
                <w:rFonts w:ascii="方正书宋_GBK" w:eastAsia="方正书宋_GBK"/>
              </w:rPr>
              <w:t>2.25</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提供各类卫生与计划生育技术服务，建立利益导向机制，开展出生人口性别比治理以及流动人口计划生育管理等各项工作。</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、计划生育服务</w:t>
            </w:r>
          </w:p>
        </w:tc>
        <w:tc>
          <w:tcPr>
            <w:tcW w:w="1276" w:type="dxa"/>
            <w:noWrap/>
            <w:vAlign w:val="center"/>
          </w:tcPr>
          <w:p>
            <w:pPr>
              <w:spacing w:line="300" w:lineRule="exact"/>
              <w:jc w:val="left"/>
              <w:rPr>
                <w:rFonts w:ascii="方正书宋_GBK" w:eastAsia="方正书宋_GBK"/>
              </w:rPr>
            </w:pPr>
            <w:r>
              <w:rPr>
                <w:rFonts w:ascii="方正书宋_GBK" w:eastAsia="方正书宋_GBK"/>
              </w:rPr>
              <w:t>1.50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免费为农村计划怀孕夫妇实行孕前优生健康检查；免费为公民提供计划生育避孕节育基本技术服务；免费为农村已婚育龄妇女提供生殖健康检查服务。</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有效降低出生缺陷发生风险；为各类育龄人群提供安全、有效避孕节育技术服务。</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免费孕前优生健康检查目标人群、已婚育龄妇女检查覆盖率。</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70%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60%</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、计划生育奖励扶持政策。</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采取奖励、扶助、社会保障等机制，引导家庭和个人打取计划生育措施，提高计划生育家庭发展能力。</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稳定适度的低生育水平，提高计划生育家庭发展能力，增强计划生育家庭及成员幸福感。</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农村部分计划生育家庭奖励扶助政策落实率。</w:t>
            </w:r>
          </w:p>
        </w:tc>
        <w:tc>
          <w:tcPr>
            <w:tcW w:w="737" w:type="dxa"/>
            <w:noWrap/>
            <w:vAlign w:val="center"/>
          </w:tcPr>
          <w:p>
            <w:pPr>
              <w:spacing w:line="300" w:lineRule="exact"/>
              <w:jc w:val="center"/>
              <w:rPr>
                <w:rFonts w:ascii="方正书宋_GBK" w:eastAsia="方正书宋_GBK"/>
              </w:rPr>
            </w:pPr>
            <w:r>
              <w:rPr>
                <w:rFonts w:ascii="方正书宋_GBK" w:eastAsia="方正书宋_GBK"/>
              </w:rPr>
              <w:t>95%</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60%</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、计划生育政策宣传、计划生育专职人员培训。</w:t>
            </w:r>
          </w:p>
        </w:tc>
        <w:tc>
          <w:tcPr>
            <w:tcW w:w="1276" w:type="dxa"/>
            <w:noWrap/>
            <w:vAlign w:val="center"/>
          </w:tcPr>
          <w:p>
            <w:pPr>
              <w:spacing w:line="300" w:lineRule="exact"/>
              <w:jc w:val="left"/>
              <w:rPr>
                <w:rFonts w:ascii="方正书宋_GBK" w:eastAsia="方正书宋_GBK"/>
              </w:rPr>
            </w:pP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通过计划生育宣传、培训，提高计生专职人员的业务素质，提高辖区内计划生育家庭的幸福。</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通过计划生育宣传、培训，提高计生专职人员的业务素质。</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全面掌握计划生育政策、计生专职人员的业务水平大幅提高。</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很满意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基本满意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4</w:t>
            </w:r>
            <w:r>
              <w:rPr>
                <w:rFonts w:hint="eastAsia" w:ascii="方正书宋_GBK" w:eastAsia="方正书宋_GBK"/>
                <w:b/>
              </w:rPr>
              <w:t>、卫生服务</w:t>
            </w:r>
          </w:p>
        </w:tc>
        <w:tc>
          <w:tcPr>
            <w:tcW w:w="1276" w:type="dxa"/>
            <w:noWrap/>
            <w:vAlign w:val="center"/>
          </w:tcPr>
          <w:p>
            <w:pPr>
              <w:spacing w:line="300" w:lineRule="exact"/>
              <w:jc w:val="left"/>
              <w:rPr>
                <w:rFonts w:ascii="方正书宋_GBK" w:eastAsia="方正书宋_GBK"/>
              </w:rPr>
            </w:pPr>
            <w:r>
              <w:rPr>
                <w:rFonts w:ascii="方正书宋_GBK" w:eastAsia="方正书宋_GBK"/>
              </w:rPr>
              <w:t>0.75</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基础医疗卫生机构支出</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提高群众满意度</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非常满意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基本满意</w:t>
            </w:r>
          </w:p>
        </w:tc>
        <w:tc>
          <w:tcPr>
            <w:tcW w:w="737" w:type="dxa"/>
            <w:noWrap/>
            <w:vAlign w:val="center"/>
          </w:tcPr>
          <w:p>
            <w:pPr>
              <w:spacing w:line="300" w:lineRule="exact"/>
              <w:jc w:val="center"/>
              <w:rPr>
                <w:rFonts w:ascii="方正书宋_GBK" w:eastAsia="方正书宋_GBK"/>
              </w:rPr>
            </w:pPr>
            <w:r>
              <w:rPr>
                <w:rFonts w:hint="eastAsia" w:ascii="方正书宋_GBK" w:eastAsia="方正书宋_GBK"/>
              </w:rPr>
              <w:t>不满意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九、农村文化、精神文明奖建设</w:t>
            </w:r>
          </w:p>
        </w:tc>
        <w:tc>
          <w:tcPr>
            <w:tcW w:w="1276" w:type="dxa"/>
            <w:noWrap/>
            <w:vAlign w:val="center"/>
          </w:tcPr>
          <w:p>
            <w:pPr>
              <w:spacing w:line="300" w:lineRule="exact"/>
              <w:jc w:val="left"/>
              <w:rPr>
                <w:rFonts w:ascii="方正书宋_GBK" w:eastAsia="方正书宋_GBK"/>
              </w:rPr>
            </w:pPr>
            <w:r>
              <w:rPr>
                <w:rFonts w:ascii="方正书宋_GBK" w:eastAsia="方正书宋_GBK"/>
              </w:rPr>
              <w:t>2.50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宣传国家的方针政策、活跃农村文化生活，负责群众文化工作，组织各种群众文化活动。</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做好文化宣传工作，积极宣传国家的方针政策；加强对外联系，不断改进文化广播各项业务工作；负责乡镇及各村在文化广播事业上的有关技术工作和文化市场信息反馈工作；完成乡党委、政府及上级有关部门交办的其他工作。</w:t>
            </w:r>
          </w:p>
        </w:tc>
        <w:tc>
          <w:tcPr>
            <w:tcW w:w="1417" w:type="dxa"/>
            <w:noWrap/>
            <w:vAlign w:val="center"/>
          </w:tcPr>
          <w:p>
            <w:pPr>
              <w:spacing w:line="300" w:lineRule="exact"/>
              <w:jc w:val="left"/>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c>
          <w:tcPr>
            <w:tcW w:w="737" w:type="dxa"/>
            <w:noWrap/>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、宣传国家的方针政策、活跃农村文化生活。</w:t>
            </w:r>
          </w:p>
        </w:tc>
        <w:tc>
          <w:tcPr>
            <w:tcW w:w="1276" w:type="dxa"/>
            <w:noWrap/>
            <w:vAlign w:val="center"/>
          </w:tcPr>
          <w:p>
            <w:pPr>
              <w:spacing w:line="300" w:lineRule="exact"/>
              <w:jc w:val="left"/>
              <w:rPr>
                <w:rFonts w:ascii="方正书宋_GBK" w:eastAsia="方正书宋_GBK"/>
              </w:rPr>
            </w:pPr>
            <w:r>
              <w:rPr>
                <w:rFonts w:ascii="方正书宋_GBK" w:eastAsia="方正书宋_GBK"/>
              </w:rPr>
              <w:t>2.50</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tc>
        <w:tc>
          <w:tcPr>
            <w:tcW w:w="2976" w:type="dxa"/>
            <w:noWrap/>
            <w:vAlign w:val="center"/>
          </w:tcPr>
          <w:p>
            <w:pPr>
              <w:spacing w:line="300" w:lineRule="exact"/>
              <w:jc w:val="left"/>
              <w:rPr>
                <w:rFonts w:ascii="方正书宋_GBK" w:eastAsia="方正书宋_GBK"/>
              </w:rPr>
            </w:pPr>
            <w:r>
              <w:rPr>
                <w:rFonts w:hint="eastAsia" w:ascii="方正书宋_GBK" w:eastAsia="方正书宋_GBK"/>
              </w:rPr>
              <w:t>农村文化、精神文明奖建设</w:t>
            </w:r>
          </w:p>
        </w:tc>
        <w:tc>
          <w:tcPr>
            <w:tcW w:w="1417" w:type="dxa"/>
            <w:noWrap/>
            <w:vAlign w:val="center"/>
          </w:tcPr>
          <w:p>
            <w:pPr>
              <w:spacing w:line="300" w:lineRule="exact"/>
              <w:jc w:val="left"/>
              <w:rPr>
                <w:rFonts w:ascii="方正书宋_GBK" w:eastAsia="方正书宋_GBK"/>
              </w:rPr>
            </w:pPr>
            <w:r>
              <w:rPr>
                <w:rFonts w:hint="eastAsia" w:ascii="方正书宋_GBK" w:eastAsia="方正书宋_GBK"/>
              </w:rPr>
              <w:t>大力发展文化事业，活跃农民文化生活，推动本辖区内文化事业建设。</w:t>
            </w:r>
          </w:p>
        </w:tc>
        <w:tc>
          <w:tcPr>
            <w:tcW w:w="737" w:type="dxa"/>
            <w:noWrap/>
            <w:vAlign w:val="center"/>
          </w:tcPr>
          <w:p>
            <w:pPr>
              <w:spacing w:line="300" w:lineRule="exact"/>
              <w:jc w:val="center"/>
              <w:rPr>
                <w:rFonts w:ascii="方正书宋_GBK" w:eastAsia="方正书宋_GBK"/>
              </w:rPr>
            </w:pPr>
            <w:r>
              <w:rPr>
                <w:rFonts w:ascii="方正书宋_GBK" w:eastAsia="方正书宋_GBK"/>
              </w:rPr>
              <w:t>95%</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90%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80%</w:t>
            </w:r>
            <w:r>
              <w:rPr>
                <w:rFonts w:hint="eastAsia" w:ascii="方正书宋_GBK" w:eastAsia="方正书宋_GBK"/>
              </w:rPr>
              <w:t>及以上</w:t>
            </w:r>
          </w:p>
        </w:tc>
        <w:tc>
          <w:tcPr>
            <w:tcW w:w="737" w:type="dxa"/>
            <w:noWrap/>
            <w:vAlign w:val="center"/>
          </w:tcPr>
          <w:p>
            <w:pPr>
              <w:spacing w:line="300" w:lineRule="exact"/>
              <w:jc w:val="center"/>
              <w:rPr>
                <w:rFonts w:ascii="方正书宋_GBK" w:eastAsia="方正书宋_GBK"/>
              </w:rPr>
            </w:pPr>
            <w:r>
              <w:rPr>
                <w:rFonts w:ascii="方正书宋_GBK" w:eastAsia="方正书宋_GBK"/>
              </w:rPr>
              <w:t>70%</w:t>
            </w:r>
            <w:r>
              <w:rPr>
                <w:rFonts w:hint="eastAsia" w:ascii="方正书宋_GBK" w:eastAsia="方正书宋_GBK"/>
              </w:rPr>
              <w:t>及以上</w:t>
            </w:r>
          </w:p>
        </w:tc>
      </w:tr>
    </w:tbl>
    <w:p>
      <w:pPr>
        <w:outlineLvl w:val="0"/>
        <w:rPr>
          <w:rFonts w:ascii="黑体" w:hAnsi="黑体" w:eastAsia="黑体" w:cs="黑体"/>
          <w:sz w:val="32"/>
        </w:rPr>
      </w:pPr>
    </w:p>
    <w:p>
      <w:pPr>
        <w:ind w:firstLine="560"/>
        <w:rPr>
          <w:rFonts w:ascii="方正仿宋_GBK" w:eastAsia="方正仿宋_GBK"/>
          <w:sz w:val="28"/>
        </w:rPr>
      </w:pPr>
    </w:p>
    <w:p>
      <w:pPr>
        <w:outlineLvl w:val="0"/>
        <w:rPr>
          <w:rFonts w:ascii="方正小标宋_GBK" w:eastAsia="方正小标宋_GBK"/>
          <w:sz w:val="36"/>
        </w:rPr>
      </w:pPr>
    </w:p>
    <w:p>
      <w:pPr>
        <w:jc w:val="center"/>
        <w:outlineLvl w:val="0"/>
        <w:rPr>
          <w:rFonts w:ascii="方正小标宋_GBK" w:eastAsia="方正小标宋_GBK"/>
          <w:sz w:val="36"/>
        </w:rPr>
      </w:pPr>
    </w:p>
    <w:p>
      <w:pPr>
        <w:outlineLvl w:val="0"/>
        <w:rPr>
          <w:rFonts w:ascii="方正小标宋_GBK" w:eastAsia="方正小标宋_GBK"/>
          <w:sz w:val="36"/>
        </w:rPr>
        <w:sectPr>
          <w:pgSz w:w="16838" w:h="11905" w:orient="landscape"/>
          <w:pgMar w:top="1134" w:right="1531" w:bottom="1134" w:left="1474" w:header="851" w:footer="992" w:gutter="0"/>
          <w:cols w:space="0" w:num="1"/>
          <w:docGrid w:type="lines" w:linePitch="321" w:charSpace="0"/>
        </w:sectPr>
      </w:pPr>
    </w:p>
    <w:p>
      <w:pPr>
        <w:ind w:firstLine="643" w:firstLineChars="200"/>
        <w:jc w:val="left"/>
        <w:outlineLvl w:val="0"/>
        <w:rPr>
          <w:rFonts w:ascii="宋体" w:hAnsi="宋体" w:cs="宋体"/>
          <w:b/>
          <w:color w:val="111111"/>
          <w:kern w:val="0"/>
          <w:sz w:val="32"/>
          <w:szCs w:val="32"/>
        </w:rPr>
      </w:pPr>
      <w:r>
        <w:rPr>
          <w:rFonts w:hint="eastAsia" w:ascii="宋体" w:hAnsi="宋体" w:cs="宋体"/>
          <w:b/>
          <w:bCs/>
          <w:sz w:val="32"/>
          <w:szCs w:val="32"/>
        </w:rPr>
        <w:t>六、政府采购预算清况</w:t>
      </w:r>
    </w:p>
    <w:p>
      <w:pPr>
        <w:ind w:firstLine="640" w:firstLineChars="200"/>
        <w:outlineLvl w:val="0"/>
        <w:rPr>
          <w:rFonts w:ascii="仿宋" w:hAnsi="仿宋" w:eastAsia="仿宋" w:cs="仿宋"/>
          <w:sz w:val="32"/>
          <w:szCs w:val="32"/>
        </w:rPr>
      </w:pPr>
      <w:r>
        <w:rPr>
          <w:rFonts w:hint="eastAsia" w:ascii="仿宋" w:hAnsi="仿宋" w:eastAsia="仿宋" w:cs="宋体"/>
          <w:color w:val="111111"/>
          <w:kern w:val="0"/>
          <w:sz w:val="32"/>
          <w:szCs w:val="32"/>
        </w:rPr>
        <w:t>2019年,涞源县王安镇人民政府安排采购预算0万元</w:t>
      </w:r>
      <w:r>
        <w:rPr>
          <w:rFonts w:hint="eastAsia" w:ascii="仿宋" w:hAnsi="仿宋" w:eastAsia="仿宋" w:cs="仿宋"/>
          <w:sz w:val="32"/>
          <w:szCs w:val="32"/>
        </w:rPr>
        <w:t>。</w:t>
      </w:r>
    </w:p>
    <w:p>
      <w:pPr>
        <w:jc w:val="center"/>
        <w:rPr>
          <w:rFonts w:ascii="仿宋" w:hAnsi="仿宋" w:eastAsia="仿宋"/>
          <w:b/>
          <w:sz w:val="32"/>
          <w:szCs w:val="32"/>
        </w:rPr>
      </w:pPr>
      <w:r>
        <w:rPr>
          <w:rFonts w:hint="eastAsia" w:ascii="仿宋" w:hAnsi="仿宋" w:eastAsia="仿宋"/>
          <w:b/>
          <w:sz w:val="32"/>
          <w:szCs w:val="32"/>
        </w:rPr>
        <w:t>部门政府采购预算表</w:t>
      </w:r>
    </w:p>
    <w:tbl>
      <w:tblPr>
        <w:tblStyle w:val="5"/>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noWrap/>
            <w:vAlign w:val="center"/>
          </w:tcPr>
          <w:p>
            <w:pPr>
              <w:spacing w:line="300" w:lineRule="exact"/>
              <w:jc w:val="left"/>
              <w:rPr>
                <w:rFonts w:ascii="方正小标宋_GBK" w:eastAsia="仿宋"/>
                <w:sz w:val="24"/>
              </w:rPr>
            </w:pPr>
            <w:r>
              <w:rPr>
                <w:rFonts w:hint="eastAsia" w:ascii="仿宋" w:hAnsi="仿宋" w:eastAsia="仿宋" w:cs="宋体"/>
                <w:kern w:val="0"/>
                <w:szCs w:val="21"/>
              </w:rPr>
              <w:t xml:space="preserve"> [984]涞源县王安镇人民政府</w:t>
            </w:r>
          </w:p>
        </w:tc>
        <w:tc>
          <w:tcPr>
            <w:tcW w:w="6144" w:type="dxa"/>
            <w:gridSpan w:val="7"/>
            <w:tcBorders>
              <w:top w:val="single" w:color="FFFFFF" w:sz="6" w:space="0"/>
              <w:left w:val="single" w:color="FFFFFF" w:sz="6" w:space="0"/>
              <w:right w:val="single" w:color="FFFFFF" w:sz="6" w:space="0"/>
            </w:tcBorders>
            <w:noWrap/>
            <w:vAlign w:val="center"/>
          </w:tcPr>
          <w:p>
            <w:pPr>
              <w:spacing w:line="300" w:lineRule="exact"/>
              <w:jc w:val="right"/>
              <w:rPr>
                <w:rFonts w:ascii="仿宋" w:hAnsi="仿宋" w:eastAsia="仿宋"/>
                <w:sz w:val="24"/>
              </w:rPr>
            </w:pPr>
            <w:r>
              <w:rPr>
                <w:rFonts w:hint="eastAsia" w:ascii="仿宋" w:hAnsi="仿宋" w:eastAsia="仿宋" w:cs="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noWrap/>
            <w:vAlign w:val="center"/>
          </w:tcPr>
          <w:p>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数量单位</w:t>
            </w: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noWrap/>
            <w:vAlign w:val="center"/>
          </w:tcPr>
          <w:p>
            <w:pPr>
              <w:spacing w:line="300" w:lineRule="exact"/>
              <w:jc w:val="center"/>
              <w:rPr>
                <w:rFonts w:ascii="仿宋" w:hAnsi="仿宋" w:eastAsia="仿宋"/>
                <w:b/>
                <w:bCs/>
              </w:rPr>
            </w:pPr>
            <w:r>
              <w:rPr>
                <w:rFonts w:hint="eastAsia" w:ascii="仿宋" w:hAnsi="仿宋" w:eastAsia="仿宋"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noWrap/>
            <w:vAlign w:val="center"/>
          </w:tcPr>
          <w:p>
            <w:pPr>
              <w:spacing w:line="300" w:lineRule="exact"/>
              <w:jc w:val="left"/>
              <w:outlineLvl w:val="0"/>
              <w:rPr>
                <w:rFonts w:ascii="仿宋" w:hAnsi="仿宋" w:eastAsia="仿宋"/>
              </w:rPr>
            </w:pPr>
          </w:p>
        </w:tc>
        <w:tc>
          <w:tcPr>
            <w:tcW w:w="1212"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906" w:type="dxa"/>
            <w:vMerge w:val="continue"/>
            <w:noWrap/>
            <w:vAlign w:val="center"/>
          </w:tcPr>
          <w:p>
            <w:pPr>
              <w:spacing w:line="300" w:lineRule="exact"/>
              <w:jc w:val="left"/>
              <w:outlineLvl w:val="0"/>
              <w:rPr>
                <w:rFonts w:ascii="仿宋" w:hAnsi="仿宋" w:eastAsia="仿宋"/>
              </w:rPr>
            </w:pP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noWrap/>
            <w:vAlign w:val="center"/>
          </w:tcPr>
          <w:p>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385" w:type="dxa"/>
            <w:vMerge w:val="continue"/>
            <w:noWrap/>
            <w:vAlign w:val="center"/>
          </w:tcPr>
          <w:p>
            <w:pPr>
              <w:spacing w:line="300" w:lineRule="exact"/>
              <w:jc w:val="left"/>
              <w:outlineLvl w:val="0"/>
              <w:rPr>
                <w:rFonts w:ascii="仿宋" w:hAnsi="仿宋" w:eastAsia="仿宋"/>
              </w:rPr>
            </w:pPr>
          </w:p>
        </w:tc>
        <w:tc>
          <w:tcPr>
            <w:tcW w:w="1068"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1212"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906"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noWrap/>
            <w:vAlign w:val="center"/>
          </w:tcPr>
          <w:p>
            <w:pPr>
              <w:spacing w:line="300" w:lineRule="exact"/>
              <w:jc w:val="left"/>
              <w:outlineLvl w:val="0"/>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noWrap/>
            <w:vAlign w:val="center"/>
          </w:tcPr>
          <w:p>
            <w:pPr>
              <w:spacing w:line="300" w:lineRule="exact"/>
              <w:ind w:right="105"/>
              <w:jc w:val="right"/>
              <w:rPr>
                <w:rFonts w:ascii="仿宋" w:hAnsi="仿宋" w:eastAsia="仿宋"/>
                <w:bCs/>
              </w:rPr>
            </w:pPr>
          </w:p>
        </w:tc>
        <w:tc>
          <w:tcPr>
            <w:tcW w:w="885" w:type="dxa"/>
            <w:noWrap/>
            <w:vAlign w:val="center"/>
          </w:tcPr>
          <w:p>
            <w:pPr>
              <w:spacing w:line="300" w:lineRule="exact"/>
              <w:jc w:val="left"/>
              <w:rPr>
                <w:rFonts w:ascii="仿宋" w:hAnsi="仿宋" w:eastAsia="仿宋"/>
                <w:bCs/>
              </w:rPr>
            </w:pPr>
          </w:p>
        </w:tc>
        <w:tc>
          <w:tcPr>
            <w:tcW w:w="1212" w:type="dxa"/>
            <w:noWrap/>
            <w:vAlign w:val="center"/>
          </w:tcPr>
          <w:p>
            <w:pPr>
              <w:spacing w:line="300" w:lineRule="exact"/>
              <w:jc w:val="left"/>
              <w:rPr>
                <w:rFonts w:ascii="仿宋" w:hAnsi="仿宋" w:eastAsia="仿宋"/>
                <w:bCs/>
              </w:rPr>
            </w:pPr>
          </w:p>
        </w:tc>
        <w:tc>
          <w:tcPr>
            <w:tcW w:w="885" w:type="dxa"/>
            <w:noWrap/>
            <w:vAlign w:val="center"/>
          </w:tcPr>
          <w:p>
            <w:pPr>
              <w:spacing w:line="300" w:lineRule="exact"/>
              <w:jc w:val="left"/>
              <w:rPr>
                <w:rFonts w:ascii="仿宋" w:hAnsi="仿宋" w:eastAsia="仿宋"/>
                <w:bCs/>
              </w:rPr>
            </w:pPr>
          </w:p>
        </w:tc>
        <w:tc>
          <w:tcPr>
            <w:tcW w:w="885" w:type="dxa"/>
            <w:noWrap/>
            <w:vAlign w:val="center"/>
          </w:tcPr>
          <w:p>
            <w:pPr>
              <w:spacing w:line="300" w:lineRule="exact"/>
              <w:jc w:val="right"/>
              <w:rPr>
                <w:rFonts w:ascii="仿宋" w:hAnsi="仿宋" w:eastAsia="仿宋"/>
                <w:bCs/>
              </w:rPr>
            </w:pPr>
          </w:p>
        </w:tc>
        <w:tc>
          <w:tcPr>
            <w:tcW w:w="906" w:type="dxa"/>
            <w:noWrap/>
            <w:vAlign w:val="center"/>
          </w:tcPr>
          <w:p>
            <w:pPr>
              <w:spacing w:line="300" w:lineRule="exact"/>
              <w:jc w:val="right"/>
              <w:rPr>
                <w:rFonts w:ascii="仿宋" w:hAnsi="仿宋" w:eastAsia="仿宋"/>
                <w:bCs/>
              </w:rPr>
            </w:pPr>
          </w:p>
        </w:tc>
        <w:tc>
          <w:tcPr>
            <w:tcW w:w="885" w:type="dxa"/>
            <w:noWrap/>
            <w:vAlign w:val="center"/>
          </w:tcPr>
          <w:p>
            <w:pPr>
              <w:spacing w:line="300" w:lineRule="exact"/>
              <w:jc w:val="right"/>
              <w:rPr>
                <w:rFonts w:ascii="仿宋" w:hAnsi="仿宋" w:eastAsia="仿宋" w:cs="方正书宋_GBK"/>
                <w:bCs/>
              </w:rPr>
            </w:pPr>
          </w:p>
        </w:tc>
        <w:tc>
          <w:tcPr>
            <w:tcW w:w="885" w:type="dxa"/>
            <w:noWrap/>
            <w:vAlign w:val="center"/>
          </w:tcPr>
          <w:p>
            <w:pPr>
              <w:spacing w:line="300" w:lineRule="exact"/>
              <w:jc w:val="right"/>
              <w:rPr>
                <w:rFonts w:ascii="仿宋" w:hAnsi="仿宋" w:eastAsia="仿宋" w:cs="方正书宋_GBK"/>
                <w:bCs/>
              </w:rPr>
            </w:pPr>
          </w:p>
        </w:tc>
        <w:tc>
          <w:tcPr>
            <w:tcW w:w="885" w:type="dxa"/>
            <w:noWrap/>
            <w:vAlign w:val="center"/>
          </w:tcPr>
          <w:p>
            <w:pPr>
              <w:spacing w:line="300" w:lineRule="exact"/>
              <w:ind w:right="105"/>
              <w:jc w:val="right"/>
              <w:rPr>
                <w:rFonts w:ascii="仿宋" w:hAnsi="仿宋" w:eastAsia="仿宋" w:cs="方正书宋_GBK"/>
                <w:bCs/>
              </w:rPr>
            </w:pPr>
          </w:p>
        </w:tc>
        <w:tc>
          <w:tcPr>
            <w:tcW w:w="885" w:type="dxa"/>
            <w:noWrap/>
            <w:vAlign w:val="center"/>
          </w:tcPr>
          <w:p>
            <w:pPr>
              <w:spacing w:line="300" w:lineRule="exact"/>
              <w:jc w:val="right"/>
              <w:rPr>
                <w:rFonts w:ascii="仿宋" w:hAnsi="仿宋" w:eastAsia="仿宋" w:cs="方正书宋_GBK"/>
                <w:b/>
                <w:bCs/>
              </w:rPr>
            </w:pPr>
          </w:p>
        </w:tc>
        <w:tc>
          <w:tcPr>
            <w:tcW w:w="885" w:type="dxa"/>
            <w:noWrap/>
            <w:vAlign w:val="center"/>
          </w:tcPr>
          <w:p>
            <w:pPr>
              <w:spacing w:line="300" w:lineRule="exact"/>
              <w:jc w:val="right"/>
              <w:rPr>
                <w:rFonts w:ascii="仿宋" w:hAnsi="仿宋" w:eastAsia="仿宋" w:cs="方正书宋_GBK"/>
                <w:b/>
                <w:bCs/>
              </w:rPr>
            </w:pPr>
          </w:p>
        </w:tc>
        <w:tc>
          <w:tcPr>
            <w:tcW w:w="885" w:type="dxa"/>
            <w:noWrap/>
            <w:vAlign w:val="center"/>
          </w:tcPr>
          <w:p>
            <w:pPr>
              <w:spacing w:line="300" w:lineRule="exact"/>
              <w:jc w:val="right"/>
              <w:rPr>
                <w:rFonts w:ascii="仿宋" w:hAnsi="仿宋" w:eastAsia="仿宋" w:cs="方正书宋_GBK"/>
                <w:b/>
                <w:bCs/>
              </w:rPr>
            </w:pPr>
          </w:p>
        </w:tc>
        <w:tc>
          <w:tcPr>
            <w:tcW w:w="834" w:type="dxa"/>
            <w:noWrap/>
            <w:vAlign w:val="center"/>
          </w:tcPr>
          <w:p>
            <w:pPr>
              <w:spacing w:line="300" w:lineRule="exact"/>
              <w:jc w:val="right"/>
              <w:rPr>
                <w:rFonts w:ascii="仿宋" w:hAnsi="仿宋" w:eastAsia="仿宋" w:cs="方正书宋_GBK"/>
                <w:b/>
                <w:bCs/>
              </w:rPr>
            </w:pPr>
          </w:p>
        </w:tc>
      </w:tr>
    </w:tbl>
    <w:p>
      <w:pPr>
        <w:ind w:firstLine="640" w:firstLineChars="200"/>
        <w:outlineLvl w:val="0"/>
        <w:rPr>
          <w:rFonts w:ascii="仿宋" w:hAnsi="仿宋" w:eastAsia="仿宋" w:cs="仿宋"/>
          <w:sz w:val="32"/>
          <w:szCs w:val="32"/>
        </w:rPr>
      </w:pPr>
    </w:p>
    <w:p>
      <w:pPr>
        <w:jc w:val="left"/>
        <w:outlineLvl w:val="0"/>
        <w:rPr>
          <w:rFonts w:ascii="方正小标宋_GBK" w:eastAsia="方正小标宋_GBK"/>
          <w:b/>
          <w:bCs/>
          <w:sz w:val="32"/>
          <w:szCs w:val="32"/>
        </w:rPr>
      </w:pPr>
    </w:p>
    <w:p>
      <w:pPr>
        <w:jc w:val="left"/>
        <w:outlineLvl w:val="0"/>
        <w:rPr>
          <w:rFonts w:ascii="宋体" w:hAnsi="宋体" w:cs="宋体"/>
          <w:b/>
          <w:bCs/>
          <w:sz w:val="32"/>
          <w:szCs w:val="32"/>
        </w:rPr>
      </w:pPr>
    </w:p>
    <w:p>
      <w:pPr>
        <w:jc w:val="left"/>
        <w:outlineLvl w:val="0"/>
        <w:rPr>
          <w:rFonts w:ascii="宋体" w:hAnsi="宋体" w:cs="宋体"/>
          <w:b/>
          <w:bCs/>
          <w:sz w:val="32"/>
          <w:szCs w:val="32"/>
        </w:rPr>
      </w:pPr>
    </w:p>
    <w:p>
      <w:pPr>
        <w:jc w:val="left"/>
        <w:outlineLvl w:val="0"/>
        <w:rPr>
          <w:rFonts w:ascii="宋体" w:hAnsi="宋体" w:cs="宋体"/>
          <w:b/>
          <w:bCs/>
          <w:sz w:val="32"/>
          <w:szCs w:val="32"/>
        </w:rPr>
      </w:pPr>
    </w:p>
    <w:p>
      <w:pPr>
        <w:jc w:val="left"/>
        <w:outlineLvl w:val="0"/>
        <w:rPr>
          <w:rFonts w:ascii="宋体" w:hAnsi="宋体" w:cs="宋体"/>
          <w:b/>
          <w:bCs/>
          <w:sz w:val="32"/>
          <w:szCs w:val="32"/>
        </w:rPr>
      </w:pPr>
    </w:p>
    <w:p>
      <w:pPr>
        <w:jc w:val="left"/>
        <w:outlineLvl w:val="0"/>
        <w:rPr>
          <w:rFonts w:ascii="宋体" w:hAnsi="宋体" w:cs="宋体"/>
          <w:b/>
          <w:bCs/>
          <w:sz w:val="32"/>
          <w:szCs w:val="32"/>
        </w:rPr>
      </w:pPr>
    </w:p>
    <w:p>
      <w:pPr>
        <w:jc w:val="left"/>
        <w:outlineLvl w:val="0"/>
        <w:rPr>
          <w:rFonts w:ascii="宋体" w:hAnsi="宋体" w:cs="宋体"/>
          <w:b/>
          <w:bCs/>
          <w:sz w:val="32"/>
          <w:szCs w:val="32"/>
        </w:rPr>
      </w:pPr>
    </w:p>
    <w:p>
      <w:pPr>
        <w:ind w:firstLine="643" w:firstLineChars="200"/>
        <w:jc w:val="left"/>
        <w:outlineLvl w:val="0"/>
        <w:rPr>
          <w:rFonts w:ascii="方正小标宋_GBK" w:eastAsia="方正小标宋_GBK"/>
          <w:b/>
          <w:bCs/>
          <w:sz w:val="32"/>
          <w:szCs w:val="32"/>
        </w:rPr>
      </w:pPr>
      <w:r>
        <w:rPr>
          <w:rFonts w:hint="eastAsia" w:ascii="宋体" w:hAnsi="宋体" w:cs="宋体"/>
          <w:b/>
          <w:bCs/>
          <w:sz w:val="32"/>
          <w:szCs w:val="32"/>
        </w:rPr>
        <w:t>七、国有资产信息情况说明</w:t>
      </w:r>
    </w:p>
    <w:p>
      <w:pPr>
        <w:spacing w:line="520" w:lineRule="exact"/>
        <w:ind w:firstLine="640" w:firstLineChars="200"/>
        <w:rPr>
          <w:rFonts w:ascii="仿宋" w:hAnsi="仿宋" w:eastAsia="仿宋"/>
          <w:sz w:val="32"/>
          <w:szCs w:val="32"/>
        </w:rPr>
      </w:pPr>
      <w:r>
        <w:rPr>
          <w:rFonts w:hint="eastAsia" w:ascii="仿宋" w:hAnsi="仿宋" w:eastAsia="仿宋" w:cs="仿宋"/>
          <w:sz w:val="32"/>
          <w:szCs w:val="32"/>
        </w:rPr>
        <w:t>涞源县王安镇人民政府2018年末固定资产总额为214.73万元。</w:t>
      </w:r>
      <w:r>
        <w:rPr>
          <w:rFonts w:hint="eastAsia" w:ascii="仿宋" w:hAnsi="仿宋" w:eastAsia="仿宋"/>
          <w:sz w:val="32"/>
          <w:szCs w:val="32"/>
        </w:rPr>
        <w:t>我部门2019年无拟购置情况。详见下表：</w:t>
      </w:r>
    </w:p>
    <w:p>
      <w:pPr>
        <w:ind w:firstLine="560"/>
        <w:rPr>
          <w:rFonts w:ascii="仿宋" w:hAnsi="仿宋" w:eastAsia="仿宋" w:cs="仿宋"/>
          <w:sz w:val="32"/>
          <w:szCs w:val="32"/>
        </w:rPr>
      </w:pPr>
    </w:p>
    <w:tbl>
      <w:tblPr>
        <w:tblStyle w:val="5"/>
        <w:tblW w:w="0" w:type="auto"/>
        <w:jc w:val="center"/>
        <w:tblLayout w:type="fixed"/>
        <w:tblCellMar>
          <w:top w:w="0" w:type="dxa"/>
          <w:left w:w="108" w:type="dxa"/>
          <w:bottom w:w="0" w:type="dxa"/>
          <w:right w:w="108" w:type="dxa"/>
        </w:tblCellMar>
      </w:tblPr>
      <w:tblGrid>
        <w:gridCol w:w="3811"/>
        <w:gridCol w:w="1591"/>
        <w:gridCol w:w="3402"/>
      </w:tblGrid>
      <w:tr>
        <w:tblPrEx>
          <w:tblCellMar>
            <w:top w:w="0" w:type="dxa"/>
            <w:left w:w="108" w:type="dxa"/>
            <w:bottom w:w="0" w:type="dxa"/>
            <w:right w:w="108" w:type="dxa"/>
          </w:tblCellMar>
        </w:tblPrEx>
        <w:trPr>
          <w:trHeight w:val="675" w:hRule="atLeast"/>
          <w:jc w:val="center"/>
        </w:trPr>
        <w:tc>
          <w:tcPr>
            <w:tcW w:w="8804" w:type="dxa"/>
            <w:gridSpan w:val="3"/>
            <w:tcBorders>
              <w:top w:val="nil"/>
              <w:left w:val="nil"/>
              <w:bottom w:val="nil"/>
              <w:right w:val="nil"/>
            </w:tcBorders>
            <w:noWrap/>
            <w:vAlign w:val="center"/>
          </w:tcPr>
          <w:p>
            <w:pPr>
              <w:widowControl/>
              <w:jc w:val="center"/>
              <w:rPr>
                <w:rFonts w:ascii="宋体" w:hAnsi="宋体" w:eastAsia="仿宋" w:cs="宋体"/>
                <w:color w:val="000000"/>
                <w:kern w:val="0"/>
                <w:sz w:val="28"/>
                <w:szCs w:val="28"/>
              </w:rPr>
            </w:pPr>
            <w:r>
              <w:rPr>
                <w:rFonts w:hint="eastAsia" w:ascii="仿宋" w:hAnsi="仿宋" w:eastAsia="仿宋"/>
                <w:b/>
                <w:bCs/>
                <w:sz w:val="32"/>
                <w:szCs w:val="32"/>
              </w:rPr>
              <w:t>2018年国有资产占用情况见下表：</w:t>
            </w:r>
          </w:p>
        </w:tc>
      </w:tr>
      <w:tr>
        <w:tblPrEx>
          <w:tblCellMar>
            <w:top w:w="0" w:type="dxa"/>
            <w:left w:w="108" w:type="dxa"/>
            <w:bottom w:w="0" w:type="dxa"/>
            <w:right w:w="108" w:type="dxa"/>
          </w:tblCellMar>
        </w:tblPrEx>
        <w:trPr>
          <w:trHeight w:val="465" w:hRule="atLeast"/>
          <w:jc w:val="center"/>
        </w:trPr>
        <w:tc>
          <w:tcPr>
            <w:tcW w:w="8804" w:type="dxa"/>
            <w:gridSpan w:val="3"/>
            <w:tcBorders>
              <w:top w:val="nil"/>
              <w:left w:val="nil"/>
              <w:bottom w:val="single" w:color="auto" w:sz="4" w:space="0"/>
              <w:right w:val="nil"/>
            </w:tcBorders>
            <w:noWrap/>
            <w:vAlign w:val="center"/>
          </w:tcPr>
          <w:p>
            <w:pPr>
              <w:widowControl/>
              <w:jc w:val="center"/>
              <w:rPr>
                <w:rFonts w:ascii="仿宋_GB2312" w:hAnsi="宋体" w:eastAsia="仿宋_GB2312" w:cs="宋体"/>
                <w:color w:val="000000"/>
                <w:kern w:val="0"/>
                <w:sz w:val="32"/>
                <w:szCs w:val="32"/>
              </w:rPr>
            </w:pPr>
            <w:r>
              <w:rPr>
                <w:rFonts w:hint="eastAsia" w:ascii="仿宋_GB2312" w:hAnsi="宋体" w:eastAsia="仿宋_GB2312" w:cs="宋体"/>
                <w:bCs/>
                <w:color w:val="000000"/>
                <w:kern w:val="0"/>
                <w:sz w:val="32"/>
                <w:szCs w:val="32"/>
              </w:rPr>
              <w:t xml:space="preserve">                           截止时间：2018年12月31日</w:t>
            </w:r>
          </w:p>
        </w:tc>
      </w:tr>
      <w:tr>
        <w:tblPrEx>
          <w:tblCellMar>
            <w:top w:w="0" w:type="dxa"/>
            <w:left w:w="108" w:type="dxa"/>
            <w:bottom w:w="0" w:type="dxa"/>
            <w:right w:w="108" w:type="dxa"/>
          </w:tblCellMar>
        </w:tblPrEx>
        <w:trPr>
          <w:trHeight w:val="750" w:hRule="atLeast"/>
          <w:jc w:val="center"/>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项　　目</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数量</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价值（单位：万元）</w:t>
            </w:r>
          </w:p>
        </w:tc>
      </w:tr>
      <w:tr>
        <w:tblPrEx>
          <w:tblCellMar>
            <w:top w:w="0" w:type="dxa"/>
            <w:left w:w="108" w:type="dxa"/>
            <w:bottom w:w="0" w:type="dxa"/>
            <w:right w:w="108" w:type="dxa"/>
          </w:tblCellMar>
        </w:tblPrEx>
        <w:trPr>
          <w:trHeight w:val="495" w:hRule="atLeast"/>
          <w:jc w:val="center"/>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固定资产总额</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214.73</w:t>
            </w:r>
          </w:p>
        </w:tc>
      </w:tr>
      <w:tr>
        <w:tblPrEx>
          <w:tblCellMar>
            <w:top w:w="0" w:type="dxa"/>
            <w:left w:w="108" w:type="dxa"/>
            <w:bottom w:w="0" w:type="dxa"/>
            <w:right w:w="108" w:type="dxa"/>
          </w:tblCellMar>
        </w:tblPrEx>
        <w:trPr>
          <w:trHeight w:val="483" w:hRule="atLeast"/>
          <w:jc w:val="center"/>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1、房屋（平方米）</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174.37</w:t>
            </w:r>
          </w:p>
        </w:tc>
      </w:tr>
      <w:tr>
        <w:tblPrEx>
          <w:tblCellMar>
            <w:top w:w="0" w:type="dxa"/>
            <w:left w:w="108" w:type="dxa"/>
            <w:bottom w:w="0" w:type="dxa"/>
            <w:right w:w="108" w:type="dxa"/>
          </w:tblCellMar>
        </w:tblPrEx>
        <w:trPr>
          <w:trHeight w:val="419" w:hRule="atLeast"/>
          <w:jc w:val="center"/>
        </w:trPr>
        <w:tc>
          <w:tcPr>
            <w:tcW w:w="3811" w:type="dxa"/>
            <w:tcBorders>
              <w:top w:val="single" w:color="auto" w:sz="4" w:space="0"/>
              <w:left w:val="single" w:color="auto" w:sz="4" w:space="0"/>
              <w:bottom w:val="single" w:color="auto" w:sz="4" w:space="0"/>
              <w:right w:val="single" w:color="auto" w:sz="4" w:space="0"/>
            </w:tcBorders>
            <w:noWrap/>
            <w:vAlign w:val="center"/>
          </w:tcPr>
          <w:p>
            <w:pPr>
              <w:jc w:val="left"/>
              <w:rPr>
                <w:rFonts w:ascii="宋体" w:hAnsi="宋体" w:cs="宋体"/>
                <w:color w:val="000000"/>
                <w:kern w:val="0"/>
                <w:sz w:val="24"/>
              </w:rPr>
            </w:pPr>
            <w:r>
              <w:rPr>
                <w:rFonts w:hint="eastAsia" w:ascii="宋体" w:hAnsi="宋体" w:cs="宋体"/>
                <w:color w:val="000000"/>
                <w:kern w:val="0"/>
                <w:sz w:val="24"/>
              </w:rPr>
              <w:t xml:space="preserve">   其中：办公用房（平方米）</w:t>
            </w:r>
          </w:p>
        </w:tc>
        <w:tc>
          <w:tcPr>
            <w:tcW w:w="1591"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p>
        </w:tc>
        <w:tc>
          <w:tcPr>
            <w:tcW w:w="3402"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r>
              <w:rPr>
                <w:rFonts w:hint="eastAsia" w:ascii="宋体" w:hAnsi="宋体" w:cs="宋体"/>
                <w:color w:val="000000"/>
                <w:kern w:val="0"/>
                <w:sz w:val="24"/>
              </w:rPr>
              <w:t>40</w:t>
            </w:r>
          </w:p>
        </w:tc>
      </w:tr>
      <w:tr>
        <w:tblPrEx>
          <w:tblCellMar>
            <w:top w:w="0" w:type="dxa"/>
            <w:left w:w="108" w:type="dxa"/>
            <w:bottom w:w="0" w:type="dxa"/>
            <w:right w:w="108" w:type="dxa"/>
          </w:tblCellMar>
        </w:tblPrEx>
        <w:trPr>
          <w:trHeight w:val="495" w:hRule="atLeast"/>
          <w:jc w:val="center"/>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其他用房（平方米）</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134.37</w:t>
            </w:r>
          </w:p>
        </w:tc>
      </w:tr>
      <w:tr>
        <w:tblPrEx>
          <w:tblCellMar>
            <w:top w:w="0" w:type="dxa"/>
            <w:left w:w="108" w:type="dxa"/>
            <w:bottom w:w="0" w:type="dxa"/>
            <w:right w:w="108" w:type="dxa"/>
          </w:tblCellMar>
        </w:tblPrEx>
        <w:trPr>
          <w:trHeight w:val="495" w:hRule="atLeast"/>
          <w:jc w:val="center"/>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2、车辆（台、辆）</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16.43</w:t>
            </w:r>
          </w:p>
        </w:tc>
      </w:tr>
      <w:tr>
        <w:tblPrEx>
          <w:tblCellMar>
            <w:top w:w="0" w:type="dxa"/>
            <w:left w:w="108" w:type="dxa"/>
            <w:bottom w:w="0" w:type="dxa"/>
            <w:right w:w="108" w:type="dxa"/>
          </w:tblCellMar>
        </w:tblPrEx>
        <w:trPr>
          <w:trHeight w:val="611" w:hRule="atLeast"/>
          <w:jc w:val="center"/>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3、单价在20万元以上的设备</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0</w:t>
            </w:r>
          </w:p>
        </w:tc>
      </w:tr>
      <w:tr>
        <w:tblPrEx>
          <w:tblCellMar>
            <w:top w:w="0" w:type="dxa"/>
            <w:left w:w="108" w:type="dxa"/>
            <w:bottom w:w="0" w:type="dxa"/>
            <w:right w:w="108" w:type="dxa"/>
          </w:tblCellMar>
        </w:tblPrEx>
        <w:trPr>
          <w:trHeight w:val="432" w:hRule="atLeast"/>
          <w:jc w:val="center"/>
        </w:trPr>
        <w:tc>
          <w:tcPr>
            <w:tcW w:w="3811" w:type="dxa"/>
            <w:tcBorders>
              <w:top w:val="single" w:color="auto" w:sz="4" w:space="0"/>
              <w:left w:val="single" w:color="auto" w:sz="4" w:space="0"/>
              <w:bottom w:val="single" w:color="auto" w:sz="4" w:space="0"/>
              <w:right w:val="single" w:color="auto" w:sz="4" w:space="0"/>
            </w:tcBorders>
            <w:noWrap/>
            <w:vAlign w:val="center"/>
          </w:tcPr>
          <w:p>
            <w:pPr>
              <w:ind w:firstLine="240" w:firstLineChars="100"/>
              <w:jc w:val="left"/>
              <w:rPr>
                <w:rFonts w:ascii="宋体" w:hAnsi="宋体" w:cs="宋体"/>
                <w:color w:val="000000"/>
                <w:kern w:val="0"/>
                <w:sz w:val="24"/>
              </w:rPr>
            </w:pPr>
            <w:r>
              <w:rPr>
                <w:rFonts w:hint="eastAsia" w:ascii="宋体" w:hAnsi="宋体" w:cs="宋体"/>
                <w:color w:val="000000"/>
                <w:kern w:val="0"/>
                <w:sz w:val="24"/>
              </w:rPr>
              <w:t>4、专用设备</w:t>
            </w:r>
          </w:p>
        </w:tc>
        <w:tc>
          <w:tcPr>
            <w:tcW w:w="1591"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r>
              <w:rPr>
                <w:rFonts w:hint="eastAsia" w:ascii="宋体" w:hAnsi="宋体" w:cs="宋体"/>
                <w:color w:val="000000"/>
                <w:kern w:val="0"/>
                <w:sz w:val="24"/>
              </w:rPr>
              <w:t>5</w:t>
            </w:r>
          </w:p>
        </w:tc>
        <w:tc>
          <w:tcPr>
            <w:tcW w:w="3402"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r>
              <w:rPr>
                <w:rFonts w:hint="eastAsia" w:ascii="宋体" w:hAnsi="宋体" w:cs="宋体"/>
                <w:color w:val="000000"/>
                <w:kern w:val="0"/>
                <w:sz w:val="24"/>
              </w:rPr>
              <w:t>1.37</w:t>
            </w:r>
          </w:p>
        </w:tc>
      </w:tr>
      <w:tr>
        <w:tblPrEx>
          <w:tblCellMar>
            <w:top w:w="0" w:type="dxa"/>
            <w:left w:w="108" w:type="dxa"/>
            <w:bottom w:w="0" w:type="dxa"/>
            <w:right w:w="108" w:type="dxa"/>
          </w:tblCellMar>
        </w:tblPrEx>
        <w:trPr>
          <w:trHeight w:val="432" w:hRule="atLeast"/>
          <w:jc w:val="center"/>
        </w:trPr>
        <w:tc>
          <w:tcPr>
            <w:tcW w:w="3811" w:type="dxa"/>
            <w:tcBorders>
              <w:top w:val="single" w:color="auto" w:sz="4" w:space="0"/>
              <w:left w:val="single" w:color="auto" w:sz="4" w:space="0"/>
              <w:bottom w:val="single" w:color="auto" w:sz="4" w:space="0"/>
              <w:right w:val="single" w:color="auto" w:sz="4" w:space="0"/>
            </w:tcBorders>
            <w:noWrap/>
            <w:vAlign w:val="center"/>
          </w:tcPr>
          <w:p>
            <w:pPr>
              <w:ind w:firstLine="240" w:firstLineChars="100"/>
              <w:jc w:val="left"/>
              <w:rPr>
                <w:rFonts w:ascii="宋体" w:hAnsi="宋体" w:cs="宋体"/>
                <w:color w:val="000000"/>
                <w:kern w:val="0"/>
                <w:sz w:val="24"/>
              </w:rPr>
            </w:pPr>
            <w:r>
              <w:rPr>
                <w:rFonts w:hint="eastAsia" w:ascii="宋体" w:hAnsi="宋体" w:cs="宋体"/>
                <w:color w:val="000000"/>
                <w:kern w:val="0"/>
                <w:sz w:val="24"/>
              </w:rPr>
              <w:t>5、通用设备</w:t>
            </w:r>
          </w:p>
        </w:tc>
        <w:tc>
          <w:tcPr>
            <w:tcW w:w="1591"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r>
              <w:rPr>
                <w:rFonts w:hint="eastAsia" w:ascii="宋体" w:hAnsi="宋体" w:cs="宋体"/>
                <w:color w:val="000000"/>
                <w:kern w:val="0"/>
                <w:sz w:val="24"/>
              </w:rPr>
              <w:t>60</w:t>
            </w:r>
          </w:p>
        </w:tc>
        <w:tc>
          <w:tcPr>
            <w:tcW w:w="3402"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r>
              <w:rPr>
                <w:rFonts w:hint="eastAsia" w:ascii="宋体" w:hAnsi="宋体" w:cs="宋体"/>
                <w:color w:val="000000"/>
                <w:kern w:val="0"/>
                <w:sz w:val="24"/>
              </w:rPr>
              <w:t>15.77</w:t>
            </w:r>
          </w:p>
        </w:tc>
      </w:tr>
      <w:tr>
        <w:tblPrEx>
          <w:tblCellMar>
            <w:top w:w="0" w:type="dxa"/>
            <w:left w:w="108" w:type="dxa"/>
            <w:bottom w:w="0" w:type="dxa"/>
            <w:right w:w="108" w:type="dxa"/>
          </w:tblCellMar>
        </w:tblPrEx>
        <w:trPr>
          <w:trHeight w:val="432" w:hRule="atLeast"/>
          <w:jc w:val="center"/>
        </w:trPr>
        <w:tc>
          <w:tcPr>
            <w:tcW w:w="3811" w:type="dxa"/>
            <w:tcBorders>
              <w:top w:val="single" w:color="auto" w:sz="4" w:space="0"/>
              <w:left w:val="single" w:color="auto" w:sz="4" w:space="0"/>
              <w:bottom w:val="single" w:color="auto" w:sz="4" w:space="0"/>
              <w:right w:val="single" w:color="auto" w:sz="4" w:space="0"/>
            </w:tcBorders>
            <w:noWrap/>
            <w:vAlign w:val="center"/>
          </w:tcPr>
          <w:p>
            <w:pPr>
              <w:jc w:val="left"/>
              <w:rPr>
                <w:rFonts w:ascii="宋体" w:hAnsi="宋体" w:cs="宋体"/>
                <w:color w:val="000000"/>
                <w:kern w:val="0"/>
                <w:sz w:val="24"/>
              </w:rPr>
            </w:pPr>
            <w:r>
              <w:rPr>
                <w:rFonts w:hint="eastAsia" w:ascii="宋体" w:hAnsi="宋体" w:cs="宋体"/>
                <w:color w:val="000000"/>
                <w:kern w:val="0"/>
                <w:sz w:val="24"/>
              </w:rPr>
              <w:t xml:space="preserve">  6、其他固定资产</w:t>
            </w:r>
          </w:p>
        </w:tc>
        <w:tc>
          <w:tcPr>
            <w:tcW w:w="1591"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r>
              <w:rPr>
                <w:rFonts w:hint="eastAsia" w:ascii="宋体" w:hAnsi="宋体" w:cs="宋体"/>
                <w:color w:val="000000"/>
                <w:kern w:val="0"/>
                <w:sz w:val="24"/>
              </w:rPr>
              <w:t>—</w:t>
            </w:r>
          </w:p>
        </w:tc>
        <w:tc>
          <w:tcPr>
            <w:tcW w:w="3402" w:type="dxa"/>
            <w:tcBorders>
              <w:top w:val="single" w:color="auto" w:sz="4" w:space="0"/>
              <w:left w:val="nil"/>
              <w:bottom w:val="single" w:color="auto" w:sz="4" w:space="0"/>
              <w:right w:val="single" w:color="auto" w:sz="4" w:space="0"/>
            </w:tcBorders>
            <w:noWrap/>
            <w:vAlign w:val="center"/>
          </w:tcPr>
          <w:p>
            <w:pPr>
              <w:jc w:val="center"/>
              <w:rPr>
                <w:rFonts w:ascii="宋体" w:hAnsi="宋体" w:cs="宋体"/>
                <w:color w:val="000000"/>
                <w:kern w:val="0"/>
                <w:sz w:val="24"/>
              </w:rPr>
            </w:pPr>
            <w:r>
              <w:rPr>
                <w:rFonts w:hint="eastAsia" w:ascii="宋体" w:hAnsi="宋体" w:cs="宋体"/>
                <w:color w:val="000000"/>
                <w:kern w:val="0"/>
                <w:sz w:val="24"/>
              </w:rPr>
              <w:t>6.79</w:t>
            </w:r>
          </w:p>
        </w:tc>
      </w:tr>
    </w:tbl>
    <w:p>
      <w:pPr>
        <w:ind w:firstLine="560"/>
        <w:rPr>
          <w:rFonts w:ascii="方正仿宋_GBK" w:eastAsia="方正仿宋_GBK"/>
          <w:sz w:val="28"/>
          <w:szCs w:val="28"/>
        </w:rPr>
      </w:pPr>
    </w:p>
    <w:p>
      <w:pPr>
        <w:spacing w:line="500" w:lineRule="exact"/>
        <w:ind w:firstLine="643" w:firstLineChars="200"/>
        <w:jc w:val="left"/>
        <w:outlineLvl w:val="0"/>
        <w:rPr>
          <w:rFonts w:ascii="宋体" w:hAnsi="宋体" w:cs="宋体"/>
          <w:b/>
          <w:bCs/>
          <w:sz w:val="32"/>
          <w:szCs w:val="32"/>
        </w:rPr>
      </w:pPr>
      <w:r>
        <w:rPr>
          <w:rFonts w:hint="eastAsia" w:ascii="宋体" w:hAnsi="宋体" w:cs="宋体"/>
          <w:b/>
          <w:bCs/>
          <w:sz w:val="32"/>
          <w:szCs w:val="32"/>
        </w:rPr>
        <w:t>八、名词解释</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指县级财政当年拨付的资金。</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仿宋" w:hAnsi="仿宋" w:eastAsia="仿宋"/>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pPr>
        <w:spacing w:line="500" w:lineRule="exact"/>
        <w:jc w:val="center"/>
        <w:outlineLvl w:val="0"/>
        <w:rPr>
          <w:rFonts w:ascii="黑体" w:hAnsi="黑体" w:eastAsia="黑体"/>
          <w:sz w:val="32"/>
          <w:szCs w:val="32"/>
        </w:rPr>
      </w:pPr>
    </w:p>
    <w:p>
      <w:pPr>
        <w:spacing w:line="500" w:lineRule="exact"/>
        <w:jc w:val="center"/>
        <w:outlineLvl w:val="0"/>
        <w:rPr>
          <w:rFonts w:ascii="宋体" w:hAnsi="宋体" w:cs="宋体"/>
          <w:sz w:val="44"/>
          <w:szCs w:val="44"/>
        </w:rPr>
      </w:pPr>
    </w:p>
    <w:p>
      <w:pPr>
        <w:spacing w:line="500" w:lineRule="exact"/>
        <w:ind w:firstLine="643" w:firstLineChars="200"/>
        <w:jc w:val="left"/>
        <w:outlineLvl w:val="0"/>
        <w:rPr>
          <w:rFonts w:ascii="仿宋" w:hAnsi="仿宋" w:eastAsia="仿宋"/>
          <w:sz w:val="32"/>
          <w:szCs w:val="32"/>
        </w:rPr>
      </w:pPr>
      <w:r>
        <w:rPr>
          <w:rFonts w:hint="eastAsia" w:ascii="宋体" w:hAnsi="宋体" w:cs="宋体"/>
          <w:b/>
          <w:bCs/>
          <w:sz w:val="32"/>
          <w:szCs w:val="32"/>
        </w:rPr>
        <w:t>九、其他需说明的事项</w:t>
      </w:r>
    </w:p>
    <w:p>
      <w:pPr>
        <w:spacing w:line="500" w:lineRule="exact"/>
        <w:ind w:firstLine="640" w:firstLineChars="200"/>
        <w:jc w:val="left"/>
        <w:outlineLvl w:val="0"/>
        <w:rPr>
          <w:rFonts w:ascii="仿宋" w:hAnsi="仿宋" w:eastAsia="仿宋"/>
          <w:sz w:val="32"/>
          <w:szCs w:val="32"/>
        </w:rPr>
      </w:pPr>
      <w:r>
        <w:rPr>
          <w:rFonts w:hint="eastAsia" w:ascii="仿宋" w:hAnsi="仿宋" w:eastAsia="仿宋"/>
          <w:sz w:val="32"/>
          <w:szCs w:val="32"/>
        </w:rPr>
        <w:t>我部门无其他需说明的事项。</w:t>
      </w:r>
    </w:p>
    <w:p>
      <w:pPr>
        <w:ind w:firstLine="640" w:firstLineChars="200"/>
        <w:rPr>
          <w:rFonts w:ascii="仿宋" w:hAnsi="仿宋" w:eastAsia="仿宋"/>
          <w:sz w:val="32"/>
        </w:rPr>
      </w:pPr>
    </w:p>
    <w:p/>
    <w:sectPr>
      <w:footerReference r:id="rId6" w:type="default"/>
      <w:pgSz w:w="16838" w:h="11905" w:orient="landscape"/>
      <w:pgMar w:top="1134" w:right="1531" w:bottom="1134" w:left="1474" w:header="851" w:footer="992" w:gutter="0"/>
      <w:cols w:space="0" w:num="1"/>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61007A87" w:usb1="80000000" w:usb2="00000008" w:usb3="00000000" w:csb0="200101FF" w:csb1="20280000"/>
  </w:font>
  <w:font w:name="微软雅黑">
    <w:altName w:val="黑体"/>
    <w:panose1 w:val="020B0503020204020204"/>
    <w:charset w:val="86"/>
    <w:family w:val="swiss"/>
    <w:pitch w:val="default"/>
    <w:sig w:usb0="00000000" w:usb1="00000000" w:usb2="00000016" w:usb3="00000000" w:csb0="0004001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书宋_GBK">
    <w:altName w:val="宋体"/>
    <w:panose1 w:val="00000000000000000000"/>
    <w:charset w:val="86"/>
    <w:family w:val="roman"/>
    <w:pitch w:val="default"/>
    <w:sig w:usb0="00000000" w:usb1="00000000" w:usb2="00000000" w:usb3="00000000" w:csb0="00040001" w:csb1="00000000"/>
  </w:font>
  <w:font w:name="方正小标宋_GBK">
    <w:altName w:val="宋体"/>
    <w:panose1 w:val="00000000000000000000"/>
    <w:charset w:val="86"/>
    <w:family w:val="roman"/>
    <w:pitch w:val="default"/>
    <w:sig w:usb0="00000000" w:usb1="00000000" w:usb2="00000000" w:usb3="00000000" w:csb0="00040001" w:csb1="00000000"/>
  </w:font>
  <w:font w:name="方正楷体_GBK">
    <w:altName w:val="宋体"/>
    <w:panose1 w:val="00000000000000000000"/>
    <w:charset w:val="86"/>
    <w:family w:val="roman"/>
    <w:pitch w:val="default"/>
    <w:sig w:usb0="00000000" w:usb1="00000000" w:usb2="00000000" w:usb3="00000000" w:csb0="00040001" w:csb1="00000000"/>
  </w:font>
  <w:font w:name="方正仿宋_GBK">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4"/>
      </w:pPr>
      <w:r>
        <w:rPr>
          <w:rStyle w:val="7"/>
        </w:rPr>
        <w:sym w:font="Symbol" w:char="F020"/>
      </w:r>
      <w:r>
        <w:rPr>
          <w:rFonts w:hint="eastAsia" w:ascii="方正楷体_GBK" w:eastAsia="方正楷体_GBK"/>
          <w:sz w:val="24"/>
        </w:rPr>
        <w:t>备注：表中的年度预算数为项目支出，部门工作活动虽未安排项目支出，但由基本支出保障，由于基本支出无法拆分到相应的工作活动，因此部分工作活动没有列示年度预算数。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4A2DCB"/>
    <w:multiLevelType w:val="singleLevel"/>
    <w:tmpl w:val="594A2DCB"/>
    <w:lvl w:ilvl="0" w:tentative="0">
      <w:start w:val="1"/>
      <w:numFmt w:val="chineseCounting"/>
      <w:suff w:val="nothing"/>
      <w:lvlText w:val="%1、"/>
      <w:lvlJc w:val="left"/>
    </w:lvl>
  </w:abstractNum>
  <w:abstractNum w:abstractNumId="1">
    <w:nsid w:val="594A3C47"/>
    <w:multiLevelType w:val="singleLevel"/>
    <w:tmpl w:val="594A3C47"/>
    <w:lvl w:ilvl="0" w:tentative="0">
      <w:start w:val="3"/>
      <w:numFmt w:val="decimal"/>
      <w:suff w:val="nothing"/>
      <w:lvlText w:val="%1、"/>
      <w:lvlJc w:val="left"/>
    </w:lvl>
  </w:abstractNum>
  <w:abstractNum w:abstractNumId="2">
    <w:nsid w:val="69D3FEBE"/>
    <w:multiLevelType w:val="singleLevel"/>
    <w:tmpl w:val="69D3FEBE"/>
    <w:lvl w:ilvl="0" w:tentative="0">
      <w:start w:val="2"/>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ocumentProtection w:enforcement="0"/>
  <w:defaultTabStop w:val="420"/>
  <w:drawingGridVerticalSpacing w:val="160"/>
  <w:displayVertic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2Y2JhMzE0MGQ3OGU4ZDJmMWRmMDQwNWI1M2MxMTcifQ=="/>
  </w:docVars>
  <w:rsids>
    <w:rsidRoot w:val="00330D98"/>
    <w:rsid w:val="00041102"/>
    <w:rsid w:val="00330D98"/>
    <w:rsid w:val="00AC3E1C"/>
    <w:rsid w:val="00D82043"/>
    <w:rsid w:val="03555F59"/>
    <w:rsid w:val="081737B4"/>
    <w:rsid w:val="0E626E5B"/>
    <w:rsid w:val="10722490"/>
    <w:rsid w:val="10EF574B"/>
    <w:rsid w:val="14217A06"/>
    <w:rsid w:val="21291BCB"/>
    <w:rsid w:val="217A41D8"/>
    <w:rsid w:val="22B578FD"/>
    <w:rsid w:val="29157789"/>
    <w:rsid w:val="2BF049F3"/>
    <w:rsid w:val="31293050"/>
    <w:rsid w:val="3F0D2F3A"/>
    <w:rsid w:val="454B049A"/>
    <w:rsid w:val="4A4D1D13"/>
    <w:rsid w:val="4AE202C0"/>
    <w:rsid w:val="4C8532E0"/>
    <w:rsid w:val="4D1B1E06"/>
    <w:rsid w:val="58B71934"/>
    <w:rsid w:val="64522045"/>
    <w:rsid w:val="660F4CC2"/>
    <w:rsid w:val="6BC431DB"/>
    <w:rsid w:val="6DA37D53"/>
    <w:rsid w:val="76434BDA"/>
    <w:rsid w:val="77B13BAA"/>
    <w:rsid w:val="79C25572"/>
    <w:rsid w:val="7CF20C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footnote text"/>
    <w:basedOn w:val="1"/>
    <w:semiHidden/>
    <w:qFormat/>
    <w:uiPriority w:val="0"/>
    <w:pPr>
      <w:snapToGrid w:val="0"/>
      <w:jc w:val="left"/>
    </w:pPr>
    <w:rPr>
      <w:sz w:val="18"/>
      <w:szCs w:val="18"/>
    </w:rPr>
  </w:style>
  <w:style w:type="character" w:styleId="7">
    <w:name w:val="footnote reference"/>
    <w:basedOn w:val="6"/>
    <w:semiHidden/>
    <w:qFormat/>
    <w:uiPriority w:val="0"/>
    <w:rPr>
      <w:vertAlign w:val="superscript"/>
    </w:rPr>
  </w:style>
  <w:style w:type="paragraph" w:customStyle="1" w:styleId="8">
    <w:name w:val="列出段落1"/>
    <w:basedOn w:val="1"/>
    <w:qFormat/>
    <w:uiPriority w:val="34"/>
    <w:pPr>
      <w:widowControl/>
      <w:adjustRightInd w:val="0"/>
      <w:snapToGrid w:val="0"/>
      <w:spacing w:after="200"/>
      <w:ind w:firstLine="420" w:firstLineChars="200"/>
      <w:jc w:val="left"/>
    </w:pPr>
    <w:rPr>
      <w:rFonts w:ascii="Tahoma" w:hAnsi="Tahoma" w:eastAsia="微软雅黑"/>
      <w:kern w:val="0"/>
      <w:sz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12525</Words>
  <Characters>16752</Characters>
  <Lines>140</Lines>
  <Paragraphs>39</Paragraphs>
  <TotalTime>7</TotalTime>
  <ScaleCrop>false</ScaleCrop>
  <LinksUpToDate>false</LinksUpToDate>
  <CharactersWithSpaces>16992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2021-05-31T00:42:00Z</dcterms:created>
  <dc:creator>86138</dc:creator>
  <cp:lastModifiedBy>Administrator</cp:lastModifiedBy>
  <dcterms:modified xsi:type="dcterms:W3CDTF">2025-02-26T02:25:45Z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0B37E97B684A4F7CBA29F0CC8717960D_13</vt:lpwstr>
  </property>
</Properties>
</file>