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spacing w:line="480" w:lineRule="exact"/>
        <w:jc w:val="center"/>
        <w:rPr>
          <w:rFonts w:ascii="宋体" w:eastAsia="宋体" w:hint="eastAsia"/>
          <w:szCs w:val="44"/>
        </w:rPr>
      </w:pPr>
      <w:r>
        <w:rPr>
          <w:rFonts w:ascii="宋体" w:eastAsia="宋体" w:hint="eastAsia"/>
          <w:szCs w:val="44"/>
        </w:rPr>
        <w:t>涞源县教育和体育局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  <w:r>
        <w:rPr>
          <w:rFonts w:ascii="宋体" w:eastAsia="宋体" w:hint="eastAsia"/>
          <w:szCs w:val="44"/>
        </w:rPr>
        <w:t>关于印发《202</w:t>
      </w:r>
      <w:r>
        <w:rPr>
          <w:rFonts w:ascii="宋体" w:eastAsia="宋体" w:hint="eastAsia"/>
          <w:szCs w:val="44"/>
          <w:lang w:val="en-US" w:eastAsia="zh-CN"/>
        </w:rPr>
        <w:t>2</w:t>
      </w:r>
      <w:r>
        <w:rPr>
          <w:rFonts w:ascii="宋体" w:eastAsia="宋体" w:hint="eastAsia"/>
          <w:szCs w:val="44"/>
        </w:rPr>
        <w:t>年度</w:t>
      </w:r>
      <w:r>
        <w:rPr>
          <w:rFonts w:ascii="宋体" w:eastAsia="宋体" w:hint="eastAsia"/>
          <w:szCs w:val="44"/>
          <w:lang w:eastAsia="zh-CN"/>
        </w:rPr>
        <w:t>内部</w:t>
      </w:r>
      <w:r>
        <w:rPr>
          <w:rFonts w:ascii="宋体" w:eastAsia="宋体" w:hint="eastAsia"/>
          <w:szCs w:val="44"/>
        </w:rPr>
        <w:t>“双随机、一公开”联合抽查工作实施方案》的通知</w:t>
      </w:r>
    </w:p>
    <w:p>
      <w:pPr>
        <w:rPr>
          <w:rFonts w:ascii="宋体" w:eastAsia="宋体" w:hint="eastAsia"/>
          <w:sz w:val="32"/>
          <w:szCs w:val="32"/>
        </w:rPr>
      </w:pPr>
    </w:p>
    <w:p>
      <w:pPr>
        <w:rPr>
          <w:rFonts w:ascii="仿宋" w:eastAsia="仿宋" w:hint="eastAsia"/>
          <w:b w:val="0"/>
          <w:sz w:val="32"/>
          <w:szCs w:val="32"/>
          <w:lang w:eastAsia="zh-CN"/>
        </w:rPr>
      </w:pPr>
      <w:r>
        <w:rPr>
          <w:rFonts w:ascii="仿宋" w:eastAsia="仿宋" w:hint="eastAsia"/>
          <w:b w:val="0"/>
          <w:sz w:val="32"/>
          <w:szCs w:val="32"/>
        </w:rPr>
        <w:t>各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股室：</w:t>
      </w:r>
    </w:p>
    <w:p>
      <w:pPr>
        <w:ind w:firstLineChars="200" w:firstLine="640"/>
        <w:rPr>
          <w:rFonts w:ascii="仿宋" w:eastAsia="仿宋" w:hint="eastAsia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现将《涞源县教育和体育局202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年度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“双随机、一公开”联合抽查工作实施方案》印发给你们，请按照《方案》要求认真抓好贯彻落实。</w:t>
      </w:r>
    </w:p>
    <w:p>
      <w:pPr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600" w:firstLine="5120"/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400" w:firstLine="4480"/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400" w:firstLine="4480"/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700" w:firstLine="5440"/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700" w:firstLine="5440"/>
        <w:rPr>
          <w:rFonts w:ascii="仿宋" w:eastAsia="仿宋" w:hint="eastAsia"/>
          <w:b w:val="0"/>
          <w:sz w:val="32"/>
          <w:szCs w:val="32"/>
        </w:rPr>
      </w:pPr>
    </w:p>
    <w:p>
      <w:pPr>
        <w:ind w:firstLineChars="1500" w:firstLine="4800"/>
        <w:rPr>
          <w:rFonts w:ascii="仿宋" w:eastAsia="仿宋" w:hint="eastAsia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涞源县教育和体育局</w:t>
      </w:r>
    </w:p>
    <w:p>
      <w:pPr>
        <w:spacing w:line="420" w:lineRule="exact"/>
        <w:jc w:val="center"/>
        <w:rPr>
          <w:rFonts w:ascii="仿宋" w:eastAsia="仿宋" w:hint="eastAsia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 xml:space="preserve">                          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</w:t>
      </w:r>
      <w:r>
        <w:rPr>
          <w:rFonts w:ascii="仿宋" w:eastAsia="仿宋"/>
          <w:b w:val="0"/>
          <w:sz w:val="32"/>
          <w:szCs w:val="32"/>
          <w:lang w:val="en-US" w:eastAsia="zh-CN"/>
        </w:rPr>
        <w:t>9</w:t>
      </w:r>
      <w:r>
        <w:rPr>
          <w:rFonts w:ascii="仿宋" w:eastAsia="仿宋" w:hint="eastAsia"/>
          <w:b w:val="0"/>
          <w:sz w:val="32"/>
          <w:szCs w:val="32"/>
        </w:rPr>
        <w:t>月</w:t>
      </w:r>
      <w:r>
        <w:rPr>
          <w:rFonts w:ascii="仿宋" w:eastAsia="仿宋"/>
          <w:b w:val="0"/>
          <w:sz w:val="32"/>
          <w:szCs w:val="32"/>
          <w:lang w:val="en-US" w:eastAsia="zh-CN"/>
        </w:rPr>
        <w:t>6</w:t>
      </w:r>
      <w:r>
        <w:rPr>
          <w:rFonts w:ascii="仿宋" w:eastAsia="仿宋" w:hint="eastAsia"/>
          <w:b w:val="0"/>
          <w:sz w:val="32"/>
          <w:szCs w:val="32"/>
        </w:rPr>
        <w:t>日</w:t>
      </w:r>
    </w:p>
    <w:p>
      <w:pPr>
        <w:spacing w:line="420" w:lineRule="exact"/>
        <w:jc w:val="center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ascii="宋体" w:eastAsia="宋体" w:hint="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550" w:firstLine="2420"/>
        <w:textAlignment w:val="auto"/>
        <w:rPr>
          <w:rFonts w:ascii="宋体" w:eastAsia="宋体"/>
          <w:szCs w:val="44"/>
        </w:rPr>
      </w:pPr>
      <w:r>
        <w:rPr>
          <w:rFonts w:ascii="宋体" w:eastAsia="宋体" w:hint="eastAsia"/>
          <w:szCs w:val="44"/>
        </w:rPr>
        <w:t>涞源县教育和体育局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宋体" w:eastAsia="宋体"/>
          <w:szCs w:val="44"/>
        </w:rPr>
      </w:pPr>
      <w:r>
        <w:rPr>
          <w:rFonts w:ascii="宋体" w:eastAsia="宋体" w:hint="eastAsia"/>
          <w:szCs w:val="44"/>
        </w:rPr>
        <w:t>202</w:t>
      </w:r>
      <w:r>
        <w:rPr>
          <w:rFonts w:ascii="宋体" w:eastAsia="宋体" w:hint="eastAsia"/>
          <w:szCs w:val="44"/>
          <w:lang w:val="en-US" w:eastAsia="zh-CN"/>
        </w:rPr>
        <w:t>2</w:t>
      </w:r>
      <w:r>
        <w:rPr>
          <w:rFonts w:ascii="宋体" w:eastAsia="宋体" w:hint="eastAsia"/>
          <w:szCs w:val="44"/>
        </w:rPr>
        <w:t>年度</w:t>
      </w:r>
      <w:r>
        <w:rPr>
          <w:rFonts w:ascii="宋体" w:eastAsia="宋体" w:hint="eastAsia"/>
          <w:szCs w:val="44"/>
          <w:lang w:eastAsia="zh-CN"/>
        </w:rPr>
        <w:t>内部</w:t>
      </w:r>
      <w:r>
        <w:rPr>
          <w:rFonts w:ascii="宋体" w:eastAsia="宋体" w:hint="eastAsia"/>
          <w:szCs w:val="44"/>
        </w:rPr>
        <w:t>“双随机、一公开”联合抽查工作实施方案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为贯彻落实《202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年度全县“双随机、一公开”监管工作实施方案》文件精神，涞源县教育和体育局决定开展202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年度第</w:t>
      </w:r>
      <w:r>
        <w:rPr>
          <w:rFonts w:ascii="仿宋" w:eastAsia="仿宋"/>
          <w:b w:val="0"/>
          <w:sz w:val="32"/>
          <w:szCs w:val="32"/>
          <w:lang w:eastAsia="zh-CN"/>
        </w:rPr>
        <w:t>二</w:t>
      </w:r>
      <w:r>
        <w:rPr>
          <w:rFonts w:ascii="仿宋" w:eastAsia="仿宋" w:hint="eastAsia"/>
          <w:b w:val="0"/>
          <w:sz w:val="32"/>
          <w:szCs w:val="32"/>
        </w:rPr>
        <w:t>次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联合抽查行动，推进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联合“双随机、一公开”监管,特制定本方案。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一、时间安排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</w:t>
      </w:r>
      <w:r>
        <w:rPr>
          <w:rFonts w:ascii="仿宋" w:eastAsia="仿宋"/>
          <w:b w:val="0"/>
          <w:sz w:val="32"/>
          <w:szCs w:val="32"/>
          <w:lang w:val="en-US" w:eastAsia="zh-CN"/>
        </w:rPr>
        <w:t>9</w:t>
      </w:r>
      <w:r>
        <w:rPr>
          <w:rFonts w:ascii="仿宋" w:eastAsia="仿宋" w:hint="eastAsia"/>
          <w:b w:val="0"/>
          <w:sz w:val="32"/>
          <w:szCs w:val="32"/>
        </w:rPr>
        <w:t>月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6</w:t>
      </w:r>
      <w:r>
        <w:rPr>
          <w:rFonts w:ascii="仿宋" w:eastAsia="仿宋" w:hint="eastAsia"/>
          <w:b w:val="0"/>
          <w:sz w:val="32"/>
          <w:szCs w:val="32"/>
        </w:rPr>
        <w:t>日至</w:t>
      </w:r>
      <w:r>
        <w:rPr>
          <w:rFonts w:ascii="仿宋" w:eastAsia="仿宋"/>
          <w:b w:val="0"/>
          <w:sz w:val="32"/>
          <w:szCs w:val="32"/>
          <w:lang w:val="en-US" w:eastAsia="zh-CN"/>
        </w:rPr>
        <w:t>10</w:t>
      </w:r>
      <w:r>
        <w:rPr>
          <w:rFonts w:ascii="仿宋" w:eastAsia="仿宋" w:hint="eastAsia"/>
          <w:b w:val="0"/>
          <w:sz w:val="32"/>
          <w:szCs w:val="32"/>
        </w:rPr>
        <w:t>月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31</w:t>
      </w:r>
      <w:r>
        <w:rPr>
          <w:rFonts w:ascii="仿宋" w:eastAsia="仿宋" w:hint="eastAsia"/>
          <w:b w:val="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二、抽查对象及比例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 w:hint="eastAsia"/>
          <w:b w:val="0"/>
          <w:sz w:val="32"/>
          <w:szCs w:val="32"/>
          <w:lang w:eastAsia="zh-CN"/>
        </w:rPr>
      </w:pPr>
      <w:r>
        <w:rPr>
          <w:rFonts w:ascii="仿宋" w:eastAsia="仿宋" w:hint="eastAsia"/>
          <w:b w:val="0"/>
          <w:sz w:val="32"/>
          <w:szCs w:val="32"/>
          <w:lang w:eastAsia="zh-CN"/>
        </w:rPr>
        <w:t>抽查对象：</w:t>
      </w:r>
      <w:r>
        <w:rPr>
          <w:rFonts w:ascii="仿宋" w:eastAsia="仿宋" w:hint="eastAsia"/>
          <w:b w:val="0"/>
          <w:sz w:val="32"/>
          <w:szCs w:val="32"/>
        </w:rPr>
        <w:t>全县中小学幼儿园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  <w:lang w:eastAsia="zh-CN"/>
        </w:rPr>
        <w:t>抽查比例：</w:t>
      </w:r>
      <w:r>
        <w:rPr>
          <w:rFonts w:ascii="仿宋" w:eastAsia="仿宋" w:hint="eastAsia"/>
          <w:b w:val="0"/>
          <w:sz w:val="32"/>
          <w:szCs w:val="32"/>
        </w:rPr>
        <w:t>按5%的比例抽查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三、抽查部门及内容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 w:hint="eastAsia"/>
          <w:b w:val="0"/>
          <w:sz w:val="32"/>
          <w:szCs w:val="32"/>
          <w:lang w:eastAsia="zh-CN"/>
        </w:rPr>
      </w:pPr>
      <w:r>
        <w:rPr>
          <w:rFonts w:ascii="仿宋" w:eastAsia="仿宋" w:hint="eastAsia"/>
          <w:b w:val="0"/>
          <w:sz w:val="32"/>
          <w:szCs w:val="32"/>
        </w:rPr>
        <w:t>(一)</w:t>
      </w:r>
      <w:r>
        <w:rPr>
          <w:rFonts w:ascii="仿宋" w:eastAsia="仿宋"/>
          <w:b w:val="0"/>
          <w:sz w:val="32"/>
          <w:szCs w:val="32"/>
          <w:lang w:eastAsia="zh-CN"/>
        </w:rPr>
        <w:t>民办教育股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Chars="200" w:firstLine="64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民办学校事中事后监管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 w:hint="eastAsia"/>
          <w:b w:val="0"/>
          <w:bCs/>
          <w:sz w:val="32"/>
          <w:szCs w:val="32"/>
          <w:lang w:val="en-US" w:eastAsia="zh-CN"/>
        </w:rPr>
        <w:t>（二）</w:t>
      </w:r>
      <w:r>
        <w:rPr>
          <w:rFonts w:ascii="仿宋" w:eastAsia="仿宋"/>
          <w:b w:val="0"/>
          <w:bCs/>
          <w:sz w:val="32"/>
          <w:szCs w:val="32"/>
          <w:lang w:val="en-US" w:eastAsia="zh-CN"/>
        </w:rPr>
        <w:t>内审股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 w:hint="eastAsia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教育经费监督管理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Chars="150" w:firstLine="480"/>
        <w:textAlignment w:val="auto"/>
        <w:rPr>
          <w:rFonts w:ascii="仿宋" w:eastAsia="仿宋" w:hint="eastAsia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（三）</w:t>
      </w:r>
      <w:r>
        <w:rPr>
          <w:rFonts w:ascii="仿宋" w:eastAsia="仿宋" w:hint="eastAsia"/>
          <w:b w:val="0"/>
          <w:bCs/>
          <w:sz w:val="32"/>
          <w:szCs w:val="32"/>
          <w:lang w:val="en-US" w:eastAsia="zh-CN"/>
        </w:rPr>
        <w:t>教师发展中心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firstLine="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特殊教育工作的监督、指导、检查。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firstLine="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学前教育工作的监督、指导、检查。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50" w:firstLine="80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3、义务教育学校办学行为监督检查。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50" w:firstLine="80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>4、职业教育工作的监督、指导、检查。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50" w:firstLine="800"/>
        <w:textAlignment w:val="auto"/>
        <w:rPr>
          <w:rFonts w:ascii="仿宋" w:eastAsia="仿宋"/>
          <w:b w:val="0"/>
          <w:bCs/>
          <w:sz w:val="32"/>
          <w:szCs w:val="32"/>
          <w:lang w:val="en-US" w:eastAsia="zh-CN"/>
        </w:rPr>
      </w:pPr>
      <w:r>
        <w:rPr>
          <w:rFonts w:ascii="仿宋" w:eastAsia="仿宋"/>
          <w:b w:val="0"/>
          <w:bCs/>
          <w:sz w:val="32"/>
          <w:szCs w:val="32"/>
          <w:lang w:val="en-US" w:eastAsia="zh-CN"/>
        </w:rPr>
        <w:t xml:space="preserve">5、普通中小学学校管理和办学行为的监督检查。  </w:t>
      </w:r>
      <w:r>
        <w:rPr>
          <w:rFonts w:ascii="仿宋" w:eastAsia="仿宋" w:hint="eastAsia"/>
          <w:b w:val="0"/>
          <w:bCs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四、名单抽取及派发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（一）通过“河北省双随机与双告知综合系统”抽取检查学校名单，由“河北省双随机与双告知综合系统”派发到监管机关，由抽查部门系统管理员在两个工作日内完成比对和确认。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（二）通过“河北省双随机与双告知综合系统”，从执法人员名录库中随机抽取执法检查人员。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（三）被检查对象和检查人员确定后，由“河北省双随机与双告知综合系统”随机匹配，生成一个学校一份随机抽查联合检查记录表（简称“一校一表”），并派发到执法检查人员。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五、抽查组织实施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（一）任务分工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1.由教育和体育局负责协调、组织本次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“双随机、一公开”联合抽查工作。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2.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由</w:t>
      </w:r>
      <w:r>
        <w:rPr>
          <w:rFonts w:ascii="仿宋" w:eastAsia="仿宋" w:hint="eastAsia"/>
          <w:b w:val="0"/>
          <w:sz w:val="32"/>
          <w:szCs w:val="32"/>
        </w:rPr>
        <w:t>教体局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各股室</w:t>
      </w:r>
      <w:r>
        <w:rPr>
          <w:rFonts w:ascii="仿宋" w:eastAsia="仿宋" w:hint="eastAsia"/>
          <w:b w:val="0"/>
          <w:sz w:val="32"/>
          <w:szCs w:val="32"/>
        </w:rPr>
        <w:t>实施本级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 xml:space="preserve">“双随机、一公开”联合抽查工作。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3.各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股室</w:t>
      </w:r>
      <w:r>
        <w:rPr>
          <w:rFonts w:ascii="仿宋" w:eastAsia="仿宋" w:hint="eastAsia"/>
          <w:b w:val="0"/>
          <w:sz w:val="32"/>
          <w:szCs w:val="32"/>
        </w:rPr>
        <w:t>严格按照明确的抽查事项、抽查依据、抽查内容组织实施联合抽查。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4.随机抽取的执法人员，无法独立完成专业抽查事项的，由执法检查人员所在单位选派专业人员协助指导完成抽查工作。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（二）检查方式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1.抽查部门按照抽查内容可以采取书面检查、实地核查等方式，也可以依法利用其他政府部门作出的检查、核查结果或者其他专业机构作出的专业结论。被检查对象实施现场检查一般采取信息比对、实地核查等方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2.对学校进行实地核查时，检查人员不少于2人，并应当出示执法证件，检查人员应当填写“一校一表”，并由被检查学校法定代表人签字盖章确认；被检查对象拒绝签字的应当在“一校一表”上如实记录。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3.对学校实施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联合抽查时，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由法制安全股</w:t>
      </w:r>
      <w:r>
        <w:rPr>
          <w:rFonts w:ascii="仿宋" w:eastAsia="仿宋" w:hint="eastAsia"/>
          <w:b w:val="0"/>
          <w:sz w:val="32"/>
          <w:szCs w:val="32"/>
        </w:rPr>
        <w:t>牵头，加强与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各股室</w:t>
      </w:r>
      <w:r>
        <w:rPr>
          <w:rFonts w:ascii="仿宋" w:eastAsia="仿宋" w:hint="eastAsia"/>
          <w:b w:val="0"/>
          <w:sz w:val="32"/>
          <w:szCs w:val="32"/>
        </w:rPr>
        <w:t>协调配合，一次性完成抽查任务。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（三）抽查结果公示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执法检查人员要自完成</w:t>
      </w:r>
      <w:r>
        <w:rPr>
          <w:rFonts w:ascii="仿宋" w:eastAsia="仿宋" w:hint="eastAsia"/>
          <w:b w:val="0"/>
          <w:sz w:val="32"/>
          <w:szCs w:val="32"/>
          <w:lang w:eastAsia="zh-CN"/>
        </w:rPr>
        <w:t>内部</w:t>
      </w:r>
      <w:r>
        <w:rPr>
          <w:rFonts w:ascii="仿宋" w:eastAsia="仿宋" w:hint="eastAsia"/>
          <w:b w:val="0"/>
          <w:sz w:val="32"/>
          <w:szCs w:val="32"/>
        </w:rPr>
        <w:t>“双随机、一公开”联合抽查工作后5个工作日内，将抽查结果录入“河北省双随机与双告知综合系统”，抽查结果录入并向社会公示。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00" w:firstLine="640"/>
        <w:textAlignment w:val="auto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（一）加强组织领导。结合《涞源县“双随机、一公开”联合抽查实施细则》要求，积极筹划，精心组织，加强宣传，制定具体工作方案，按时完成抽查任务。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（二）加强协调配合。要按照联合抽查的工作安排，密切协作，确保联合抽查有序开展。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（三）加强信息反馈。要认真梳理联合抽查工作中的亮点，总结经验做法及存在问题。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50" w:firstLine="480"/>
        <w:textAlignment w:val="auto"/>
        <w:rPr>
          <w:rFonts w:asci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150" w:firstLine="688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150" w:firstLine="688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2150" w:firstLine="688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700" w:firstLine="544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700" w:firstLine="544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700" w:firstLine="544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700" w:firstLine="5440"/>
        <w:textAlignment w:val="auto"/>
        <w:rPr>
          <w:rFonts w:ascii="仿宋" w:eastAsia="仿宋" w:hint="eastAsia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Chars="1700" w:firstLine="5440"/>
        <w:textAlignment w:val="auto"/>
        <w:rPr>
          <w:rFonts w:ascii="仿宋" w:eastAsia="仿宋"/>
          <w:b w:val="0"/>
          <w:sz w:val="32"/>
          <w:szCs w:val="32"/>
        </w:rPr>
      </w:pPr>
      <w:r>
        <w:rPr>
          <w:rFonts w:ascii="仿宋" w:eastAsia="仿宋" w:hint="eastAsia"/>
          <w:b w:val="0"/>
          <w:sz w:val="32"/>
          <w:szCs w:val="32"/>
        </w:rPr>
        <w:t>202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2</w:t>
      </w:r>
      <w:r>
        <w:rPr>
          <w:rFonts w:ascii="仿宋" w:eastAsia="仿宋" w:hint="eastAsia"/>
          <w:b w:val="0"/>
          <w:sz w:val="32"/>
          <w:szCs w:val="32"/>
        </w:rPr>
        <w:t>年</w:t>
      </w:r>
      <w:r>
        <w:rPr>
          <w:rFonts w:ascii="仿宋" w:eastAsia="仿宋"/>
          <w:b w:val="0"/>
          <w:sz w:val="32"/>
          <w:szCs w:val="32"/>
          <w:lang w:val="en-US" w:eastAsia="zh-CN"/>
        </w:rPr>
        <w:t>9</w:t>
      </w:r>
      <w:r>
        <w:rPr>
          <w:rFonts w:ascii="仿宋" w:eastAsia="仿宋" w:hint="eastAsia"/>
          <w:b w:val="0"/>
          <w:sz w:val="32"/>
          <w:szCs w:val="32"/>
        </w:rPr>
        <w:t>月</w:t>
      </w:r>
      <w:r>
        <w:rPr>
          <w:rFonts w:ascii="仿宋" w:eastAsia="仿宋" w:hint="eastAsia"/>
          <w:b w:val="0"/>
          <w:sz w:val="32"/>
          <w:szCs w:val="32"/>
          <w:lang w:val="en-US" w:eastAsia="zh-CN"/>
        </w:rPr>
        <w:t>6</w:t>
      </w:r>
      <w:r>
        <w:rPr>
          <w:rFonts w:ascii="仿宋" w:eastAsia="仿宋" w:hint="eastAsia"/>
          <w:b w:val="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480" w:lineRule="exact"/>
        <w:jc w:val="center"/>
        <w:rPr>
          <w:rFonts w:ascii="仿宋" w:eastAsia="仿宋"/>
          <w:b w:val="0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docGrid w:type="lines" w:linePitch="60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variable"/>
    <w:sig w:usb0="00000000" w:usb1="0000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A90F3361"/>
    <w:multiLevelType w:val="singleLevel"/>
    <w:tmpl w:val="A90F3361"/>
    <w:lvl w:ilvl="0">
      <w:start w:val="1"/>
      <w:numFmt w:val="decimal"/>
      <w:lvlRestart w:val="0"/>
      <w:suff w:val="nothing"/>
      <w:lvlText w:val="%1、"/>
      <w:lvlJc w:val="left"/>
      <w:pPr>
        <w:ind w:left="800" w:hanging="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65"/>
  <w:bordersDoNotSurroundHeader w:val="0"/>
  <w:bordersDoNotSurroundFooter w:val="0"/>
  <w:documentProtection w:edit="readOnly" w:enforcement="0"/>
  <w:defaultTabStop w:val="420"/>
  <w:drawingGridHorizontalSpacing w:val="221"/>
  <w:drawingGridVerticalSpacing w:val="601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Calibri" w:hAnsi="Calibri"/>
      <w:b/>
      <w:kern w:val="2"/>
      <w:sz w:val="44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Cs/>
      <w:kern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character" w:styleId="15">
    <w:name w:val="Strong"/>
    <w:basedOn w:val="10"/>
  </w:style>
  <w:style w:type="character" w:styleId="16">
    <w:name w:val="FollowedHyperlink"/>
    <w:basedOn w:val="10"/>
    <w:rPr>
      <w:color w:val="333333"/>
      <w:u w:val="none"/>
    </w:rPr>
  </w:style>
  <w:style w:type="character" w:styleId="17">
    <w:name w:val="Emphasis"/>
    <w:basedOn w:val="10"/>
  </w:style>
  <w:style w:type="character" w:styleId="18">
    <w:name w:val="Hyperlink"/>
    <w:basedOn w:val="10"/>
    <w:rPr>
      <w:color w:val="333333"/>
      <w:u w:val="none"/>
    </w:rPr>
  </w:style>
  <w:style w:type="paragraph" w:styleId="19">
    <w:name w:val="No Spacing"/>
    <w:pPr>
      <w:widowControl w:val="0"/>
      <w:jc w:val="both"/>
    </w:pPr>
    <w:rPr>
      <w:rFonts w:ascii="Calibri" w:eastAsia="宋体" w:cs="Calibri" w:hAnsi="Calibri"/>
      <w:b/>
      <w:kern w:val="2"/>
      <w:sz w:val="44"/>
      <w:szCs w:val="21"/>
      <w:lang w:val="en-US" w:eastAsia="zh-CN" w:bidi="ar-SA"/>
    </w:rPr>
  </w:style>
  <w:style w:type="character" w:customStyle="1" w:styleId="20">
    <w:name w:val="item_open_f"/>
    <w:basedOn w:val="10"/>
    <w:rPr>
      <w:rFonts w:ascii="微软雅黑" w:eastAsia="微软雅黑" w:cs="微软雅黑"/>
      <w:color w:val="2376B8"/>
      <w:sz w:val="21"/>
      <w:szCs w:val="21"/>
    </w:rPr>
  </w:style>
  <w:style w:type="character" w:customStyle="1" w:styleId="21">
    <w:name w:val="num"/>
    <w:basedOn w:val="10"/>
    <w:rPr>
      <w:rFonts w:ascii="Arial" w:cs="Arial" w:hAnsi="Arial"/>
      <w:color w:val="FFFFFF"/>
      <w:sz w:val="16"/>
      <w:szCs w:val="16"/>
    </w:rPr>
  </w:style>
  <w:style w:type="character" w:customStyle="1" w:styleId="22">
    <w:name w:val="show"/>
    <w:basedOn w:val="10"/>
  </w:style>
  <w:style w:type="character" w:customStyle="1" w:styleId="23">
    <w:name w:val="show1"/>
    <w:basedOn w:val="10"/>
  </w:style>
  <w:style w:type="character" w:customStyle="1" w:styleId="24">
    <w:name w:val="default"/>
    <w:basedOn w:val="10"/>
  </w:style>
  <w:style w:type="character" w:customStyle="1" w:styleId="25">
    <w:name w:val="blf"/>
    <w:basedOn w:val="10"/>
  </w:style>
  <w:style w:type="character" w:customStyle="1" w:styleId="26">
    <w:name w:val="brt"/>
    <w:basedOn w:val="10"/>
  </w:style>
  <w:style w:type="character" w:customStyle="1" w:styleId="27">
    <w:name w:val="red2"/>
    <w:basedOn w:val="10"/>
    <w:rPr>
      <w:color w:val="FF0000"/>
    </w:rPr>
  </w:style>
  <w:style w:type="character" w:customStyle="1" w:styleId="28">
    <w:name w:val="red"/>
    <w:basedOn w:val="10"/>
    <w:rPr>
      <w:color w:val="FF0000"/>
    </w:rPr>
  </w:style>
  <w:style w:type="character" w:customStyle="1" w:styleId="29">
    <w:name w:val="show2"/>
    <w:basedOn w:val="10"/>
  </w:style>
  <w:style w:type="character" w:customStyle="1" w:styleId="30">
    <w:name w:val="show3"/>
    <w:basedOn w:val="1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12</TotalTime>
  <Application>Yozo_Office27021597764231179</Application>
  <Pages>4</Pages>
  <Words>1293</Words>
  <Characters>1327</Characters>
  <Lines>105</Lines>
  <Paragraphs>46</Paragraphs>
  <CharactersWithSpaces>1364</CharactersWithSpaces>
  <Company>CHINA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10</cp:revision>
  <cp:lastPrinted>2021-09-02T06:35:00Z</cp:lastPrinted>
  <dcterms:created xsi:type="dcterms:W3CDTF">2020-09-21T01:44:00Z</dcterms:created>
  <dcterms:modified xsi:type="dcterms:W3CDTF">2022-09-07T00:46:19Z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2052-11.1.0.11035</vt:lpwstr>
  </property>
  <property fmtid="{D5CDD505-2E9C-101B-9397-08002B2CF9AE}" pid="3" name="ICV">
    <vt:lpwstr>A76CF36F2F1E4500B9595C999EB01EDC</vt:lpwstr>
  </property>
</Properties>
</file>