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jc w:val="center"/>
        <w:rPr>
          <w:rFonts w:ascii="宋体" w:eastAsia="宋体" w:cs="宋体" w:hint="eastAsia"/>
          <w:color w:val="333333"/>
          <w:sz w:val="44"/>
          <w:szCs w:val="44"/>
        </w:rPr>
      </w:pPr>
      <w:r>
        <w:rPr>
          <w:rFonts w:ascii="宋体" w:eastAsia="宋体" w:cs="宋体"/>
          <w:color w:val="333333"/>
          <w:sz w:val="44"/>
          <w:szCs w:val="44"/>
          <w:lang w:val="en-US" w:eastAsia="zh-CN"/>
        </w:rPr>
        <w:t>北石佛</w:t>
      </w:r>
      <w:bookmarkStart w:id="0" w:name="_GoBack"/>
      <w:bookmarkEnd w:id="0"/>
      <w:r>
        <w:rPr>
          <w:rFonts w:ascii="宋体" w:eastAsia="宋体" w:cs="宋体" w:hint="eastAsia"/>
          <w:color w:val="333333"/>
          <w:sz w:val="44"/>
          <w:szCs w:val="44"/>
        </w:rPr>
        <w:t>镇人民政府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jc w:val="center"/>
        <w:rPr>
          <w:rFonts w:ascii="宋体" w:eastAsia="宋体" w:cs="宋体" w:hint="eastAsia"/>
          <w:color w:val="333333"/>
          <w:sz w:val="44"/>
          <w:szCs w:val="44"/>
        </w:rPr>
      </w:pPr>
      <w:r>
        <w:rPr>
          <w:rFonts w:ascii="宋体" w:eastAsia="宋体" w:cs="宋体" w:hint="eastAsia"/>
          <w:color w:val="333333"/>
          <w:sz w:val="44"/>
          <w:szCs w:val="44"/>
        </w:rPr>
        <w:t>重大行政执法决定法制审核制度</w:t>
      </w:r>
    </w:p>
    <w:p>
      <w:pPr>
        <w:pStyle w:val="17"/>
        <w:shd w:val="clear" w:color="auto" w:fill="FFFFFF"/>
        <w:spacing w:before="0" w:beforeAutospacing="0" w:after="0" w:afterAutospacing="0" w:line="600" w:lineRule="exact"/>
        <w:ind w:firstLine="482"/>
        <w:jc w:val="center"/>
        <w:rPr>
          <w:rFonts w:ascii="方正小标宋简体" w:eastAsia="方正小标宋简体" w:hint="eastAsia"/>
          <w:color w:val="333333"/>
          <w:sz w:val="36"/>
          <w:szCs w:val="36"/>
        </w:rPr>
      </w:pP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Style w:val="18"/>
          <w:rFonts w:ascii="仿宋" w:eastAsia="仿宋" w:cs="仿宋" w:hint="eastAsia"/>
          <w:color w:val="333333"/>
          <w:sz w:val="32"/>
          <w:szCs w:val="32"/>
        </w:rPr>
        <w:t>第一条</w:t>
      </w:r>
      <w:r>
        <w:rPr>
          <w:rFonts w:ascii="仿宋" w:eastAsia="仿宋" w:cs="仿宋" w:hint="eastAsia"/>
          <w:color w:val="333333"/>
          <w:sz w:val="32"/>
          <w:szCs w:val="32"/>
        </w:rPr>
        <w:t> 为了加强对重大行政执法行为的监督，保护公民、法人和其他组织的合法权益，促进依法行政，根据《中华人民共和国行政处罚法》《中华人民共和国行政强制法》《中华人民共和国行政许可法》等法律、法规、规章有关文件的规定，制定本制度。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Style w:val="18"/>
          <w:rFonts w:ascii="仿宋" w:eastAsia="仿宋" w:cs="仿宋" w:hint="eastAsia"/>
          <w:color w:val="333333"/>
          <w:sz w:val="32"/>
          <w:szCs w:val="32"/>
        </w:rPr>
        <w:t>第二条 </w:t>
      </w:r>
      <w:r>
        <w:rPr>
          <w:rFonts w:ascii="仿宋" w:eastAsia="仿宋" w:cs="仿宋" w:hint="eastAsia"/>
          <w:color w:val="333333"/>
          <w:sz w:val="32"/>
          <w:szCs w:val="32"/>
        </w:rPr>
        <w:t>本制度所称重大行政执法决定法制审核，是指本单位按照法定程序作出重大行政执法决定之前，由本单位法制员负责对其合法性、适当性进行审核的活动。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Style w:val="18"/>
          <w:rFonts w:ascii="仿宋" w:eastAsia="仿宋" w:cs="仿宋" w:hint="eastAsia"/>
          <w:color w:val="333333"/>
          <w:sz w:val="32"/>
          <w:szCs w:val="32"/>
        </w:rPr>
        <w:t>第三条 </w:t>
      </w:r>
      <w:r>
        <w:rPr>
          <w:rFonts w:ascii="仿宋" w:eastAsia="仿宋" w:cs="仿宋" w:hint="eastAsia"/>
          <w:color w:val="333333"/>
          <w:sz w:val="32"/>
          <w:szCs w:val="32"/>
        </w:rPr>
        <w:t>本制度所称重大行政执法决定，是指作出行政处罚、行政强制、行政许可等行政执法决定，具有下列情形之一的，应当在作出决定前进行法制审核：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Fonts w:ascii="仿宋" w:eastAsia="仿宋" w:cs="仿宋" w:hint="eastAsia"/>
          <w:color w:val="333333"/>
          <w:sz w:val="32"/>
          <w:szCs w:val="32"/>
        </w:rPr>
        <w:t>1、对公民处以</w:t>
      </w:r>
      <w:r>
        <w:rPr>
          <w:rFonts w:ascii="仿宋" w:eastAsia="仿宋" w:cs="仿宋" w:hint="eastAsia"/>
          <w:color w:val="333333"/>
          <w:sz w:val="32"/>
          <w:szCs w:val="32"/>
          <w:lang w:val="en-US" w:eastAsia="zh-CN"/>
        </w:rPr>
        <w:t>1000</w:t>
      </w:r>
      <w:r>
        <w:rPr>
          <w:rFonts w:ascii="仿宋" w:eastAsia="仿宋" w:cs="仿宋" w:hint="eastAsia"/>
          <w:color w:val="333333"/>
          <w:sz w:val="32"/>
          <w:szCs w:val="32"/>
        </w:rPr>
        <w:t>元以上的罚款，对法人或其他组织处以</w:t>
      </w:r>
      <w:r>
        <w:rPr>
          <w:rFonts w:ascii="仿宋" w:eastAsia="仿宋" w:cs="仿宋" w:hint="eastAsia"/>
          <w:color w:val="333333"/>
          <w:sz w:val="32"/>
          <w:szCs w:val="32"/>
          <w:lang w:val="en-US" w:eastAsia="zh-CN"/>
        </w:rPr>
        <w:t>10000</w:t>
      </w:r>
      <w:r>
        <w:rPr>
          <w:rFonts w:ascii="仿宋" w:eastAsia="仿宋" w:cs="仿宋" w:hint="eastAsia"/>
          <w:color w:val="333333"/>
          <w:sz w:val="32"/>
          <w:szCs w:val="32"/>
        </w:rPr>
        <w:t>元以上的罚款；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Fonts w:ascii="仿宋" w:eastAsia="仿宋" w:cs="仿宋" w:hint="eastAsia"/>
          <w:color w:val="333333"/>
          <w:sz w:val="32"/>
          <w:szCs w:val="32"/>
        </w:rPr>
        <w:t>2、没收违法所得或没收非法财物价值相当于第一项规定的数额；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Fonts w:ascii="仿宋" w:eastAsia="仿宋" w:cs="仿宋" w:hint="eastAsia"/>
          <w:color w:val="333333"/>
          <w:sz w:val="32"/>
          <w:szCs w:val="32"/>
        </w:rPr>
        <w:t>3、责令停产停业；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Fonts w:ascii="仿宋" w:eastAsia="仿宋" w:cs="仿宋" w:hint="eastAsia"/>
          <w:color w:val="333333"/>
          <w:sz w:val="32"/>
          <w:szCs w:val="32"/>
        </w:rPr>
        <w:t>4、吊销许可证；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Fonts w:ascii="仿宋" w:eastAsia="仿宋" w:cs="仿宋" w:hint="eastAsia"/>
          <w:color w:val="333333"/>
          <w:sz w:val="32"/>
          <w:szCs w:val="32"/>
          <w:lang w:val="en-US" w:eastAsia="zh-CN"/>
        </w:rPr>
        <w:t>5</w:t>
      </w:r>
      <w:r>
        <w:rPr>
          <w:rFonts w:ascii="仿宋" w:eastAsia="仿宋" w:cs="仿宋" w:hint="eastAsia"/>
          <w:color w:val="333333"/>
          <w:sz w:val="32"/>
          <w:szCs w:val="32"/>
        </w:rPr>
        <w:t>、法律、法规、规章规定应当举行听证的，或者本单位认为需要听证且涉及公共利益的，或者直接涉及申请人与他人之间重大利益关系，申请人、利害关系人要求听证的行政许可决定；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Fonts w:ascii="仿宋" w:eastAsia="仿宋" w:cs="仿宋" w:hint="eastAsia"/>
          <w:color w:val="333333"/>
          <w:sz w:val="32"/>
          <w:szCs w:val="32"/>
          <w:lang w:val="en-US" w:eastAsia="zh-CN"/>
        </w:rPr>
        <w:t>6</w:t>
      </w:r>
      <w:r>
        <w:rPr>
          <w:rFonts w:ascii="仿宋" w:eastAsia="仿宋" w:cs="仿宋" w:hint="eastAsia"/>
          <w:color w:val="333333"/>
          <w:sz w:val="32"/>
          <w:szCs w:val="32"/>
        </w:rPr>
        <w:t>、其他法律、法规、规章规定应当进行法制审核的。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Style w:val="18"/>
          <w:rFonts w:ascii="仿宋" w:eastAsia="仿宋" w:cs="仿宋" w:hint="eastAsia"/>
          <w:color w:val="333333"/>
          <w:sz w:val="32"/>
          <w:szCs w:val="32"/>
        </w:rPr>
        <w:t>第四条</w:t>
      </w:r>
      <w:r>
        <w:rPr>
          <w:rFonts w:ascii="仿宋" w:eastAsia="仿宋" w:cs="仿宋" w:hint="eastAsia"/>
          <w:color w:val="333333"/>
          <w:sz w:val="32"/>
          <w:szCs w:val="32"/>
        </w:rPr>
        <w:t> 重大行政执法决定进行法制审核是作出决定前的必经程序，未经法制审核或者审核未通过的，不得作出决定。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Style w:val="18"/>
          <w:rFonts w:ascii="仿宋" w:eastAsia="仿宋" w:cs="仿宋" w:hint="eastAsia"/>
          <w:color w:val="333333"/>
          <w:sz w:val="32"/>
          <w:szCs w:val="32"/>
        </w:rPr>
        <w:t>第五条 </w:t>
      </w:r>
      <w:r>
        <w:rPr>
          <w:rFonts w:ascii="仿宋" w:eastAsia="仿宋" w:cs="仿宋" w:hint="eastAsia"/>
          <w:color w:val="333333"/>
          <w:sz w:val="32"/>
          <w:szCs w:val="32"/>
        </w:rPr>
        <w:t>案件承办机构或承办人在调（审）查终结后作出行政执法决定前，对符合重大行政执法决定条件的案件和事项应当送法制员进行审核。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Style w:val="18"/>
          <w:rFonts w:ascii="仿宋" w:eastAsia="仿宋" w:cs="仿宋" w:hint="eastAsia"/>
          <w:color w:val="333333"/>
          <w:sz w:val="32"/>
          <w:szCs w:val="32"/>
        </w:rPr>
        <w:t>第六条 </w:t>
      </w:r>
      <w:r>
        <w:rPr>
          <w:rFonts w:ascii="仿宋" w:eastAsia="仿宋" w:cs="仿宋" w:hint="eastAsia"/>
          <w:color w:val="333333"/>
          <w:sz w:val="32"/>
          <w:szCs w:val="32"/>
        </w:rPr>
        <w:t>案件承办机构或承办人在送审时应当提交下列材料：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Fonts w:ascii="仿宋" w:eastAsia="仿宋" w:cs="仿宋" w:hint="eastAsia"/>
          <w:color w:val="333333"/>
          <w:sz w:val="32"/>
          <w:szCs w:val="32"/>
        </w:rPr>
        <w:t>1、重大行政执法决定的调查终结报告；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Fonts w:ascii="仿宋" w:eastAsia="仿宋" w:cs="仿宋" w:hint="eastAsia"/>
          <w:color w:val="333333"/>
          <w:sz w:val="32"/>
          <w:szCs w:val="32"/>
        </w:rPr>
        <w:t>2、重大行政执法决定建议或者意见及其情况说明；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Fonts w:ascii="仿宋" w:eastAsia="仿宋" w:cs="仿宋" w:hint="eastAsia"/>
          <w:color w:val="333333"/>
          <w:sz w:val="32"/>
          <w:szCs w:val="32"/>
        </w:rPr>
        <w:t>3、重大行政执法决定书代拟稿；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Fonts w:ascii="仿宋" w:eastAsia="仿宋" w:cs="仿宋" w:hint="eastAsia"/>
          <w:color w:val="333333"/>
          <w:sz w:val="32"/>
          <w:szCs w:val="32"/>
        </w:rPr>
        <w:t>4、拟作出重大行政执法决定的相关证据资料和依据；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Fonts w:ascii="仿宋" w:eastAsia="仿宋" w:cs="仿宋" w:hint="eastAsia"/>
          <w:color w:val="333333"/>
          <w:sz w:val="32"/>
          <w:szCs w:val="32"/>
        </w:rPr>
        <w:t>5、经听证或者专家审查、评估的，还应当提交听证笔录或者审查、评估报告；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Fonts w:ascii="仿宋" w:eastAsia="仿宋" w:cs="仿宋" w:hint="eastAsia"/>
          <w:color w:val="333333"/>
          <w:sz w:val="32"/>
          <w:szCs w:val="32"/>
        </w:rPr>
        <w:t>6、其他需要提交的材料。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Fonts w:ascii="仿宋" w:eastAsia="仿宋" w:cs="仿宋" w:hint="eastAsia"/>
          <w:color w:val="333333"/>
          <w:sz w:val="32"/>
          <w:szCs w:val="32"/>
        </w:rPr>
        <w:t>法制员认为提交材料不齐全的，可以要求案件承办机构或承办人在指定时间提交。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Style w:val="18"/>
          <w:rFonts w:ascii="仿宋" w:eastAsia="仿宋" w:cs="仿宋" w:hint="eastAsia"/>
          <w:color w:val="333333"/>
          <w:sz w:val="32"/>
          <w:szCs w:val="32"/>
        </w:rPr>
        <w:t>第七条</w:t>
      </w:r>
      <w:r>
        <w:rPr>
          <w:rFonts w:ascii="仿宋" w:eastAsia="仿宋" w:cs="仿宋" w:hint="eastAsia"/>
          <w:color w:val="333333"/>
          <w:sz w:val="32"/>
          <w:szCs w:val="32"/>
        </w:rPr>
        <w:t> 重大行政执法决定建议情况说明应当载明以下内容：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Fonts w:ascii="仿宋" w:eastAsia="仿宋" w:cs="仿宋" w:hint="eastAsia"/>
          <w:color w:val="333333"/>
          <w:sz w:val="32"/>
          <w:szCs w:val="32"/>
        </w:rPr>
        <w:t>1、基本事实；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Fonts w:ascii="仿宋" w:eastAsia="仿宋" w:cs="仿宋" w:hint="eastAsia"/>
          <w:color w:val="333333"/>
          <w:sz w:val="32"/>
          <w:szCs w:val="32"/>
        </w:rPr>
        <w:t>2、适用法律、法规、规章和行政裁量基准的情况；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Fonts w:ascii="仿宋" w:eastAsia="仿宋" w:cs="仿宋" w:hint="eastAsia"/>
          <w:color w:val="333333"/>
          <w:sz w:val="32"/>
          <w:szCs w:val="32"/>
        </w:rPr>
        <w:t>3、行政执法人员资格情况；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Fonts w:ascii="仿宋" w:eastAsia="仿宋" w:cs="仿宋" w:hint="eastAsia"/>
          <w:color w:val="333333"/>
          <w:sz w:val="32"/>
          <w:szCs w:val="32"/>
        </w:rPr>
        <w:t>4、调查取证和听证情况；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Fonts w:ascii="仿宋" w:eastAsia="仿宋" w:cs="仿宋" w:hint="eastAsia"/>
          <w:color w:val="333333"/>
          <w:sz w:val="32"/>
          <w:szCs w:val="32"/>
        </w:rPr>
        <w:t>5、其他需要说明的情况。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Style w:val="18"/>
          <w:rFonts w:ascii="仿宋" w:eastAsia="仿宋" w:cs="仿宋" w:hint="eastAsia"/>
          <w:color w:val="333333"/>
          <w:sz w:val="32"/>
          <w:szCs w:val="32"/>
        </w:rPr>
        <w:t>第八条</w:t>
      </w:r>
      <w:r>
        <w:rPr>
          <w:rStyle w:val="18"/>
          <w:rFonts w:ascii="仿宋" w:eastAsia="仿宋" w:cs="仿宋" w:hint="eastAsia"/>
          <w:color w:val="auto"/>
          <w:sz w:val="32"/>
          <w:szCs w:val="32"/>
        </w:rPr>
        <w:t> </w:t>
      </w:r>
      <w:r>
        <w:rPr>
          <w:rFonts w:ascii="仿宋" w:eastAsia="仿宋" w:cs="仿宋" w:hint="eastAsia"/>
          <w:color w:val="auto"/>
          <w:sz w:val="32"/>
          <w:szCs w:val="32"/>
        </w:rPr>
        <w:t>法制员</w:t>
      </w:r>
      <w:r>
        <w:rPr>
          <w:rFonts w:ascii="仿宋" w:eastAsia="仿宋" w:cs="仿宋" w:hint="eastAsia"/>
          <w:color w:val="333333"/>
          <w:sz w:val="32"/>
          <w:szCs w:val="32"/>
        </w:rPr>
        <w:t>对于拟作出的重大行政执法决定，仅对提交的书面材料进行审核：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Fonts w:ascii="仿宋" w:eastAsia="仿宋" w:cs="仿宋" w:hint="eastAsia"/>
          <w:color w:val="333333"/>
          <w:sz w:val="32"/>
          <w:szCs w:val="32"/>
        </w:rPr>
        <w:t>1、执法主体是否合法，行政执法人员是否具备执法资格；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Fonts w:ascii="仿宋" w:eastAsia="仿宋" w:cs="仿宋" w:hint="eastAsia"/>
          <w:color w:val="333333"/>
          <w:sz w:val="32"/>
          <w:szCs w:val="32"/>
        </w:rPr>
        <w:t>2、主要事实是否清楚，证据是否确凿、充分；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Fonts w:ascii="仿宋" w:eastAsia="仿宋" w:cs="仿宋" w:hint="eastAsia"/>
          <w:color w:val="333333"/>
          <w:sz w:val="32"/>
          <w:szCs w:val="32"/>
        </w:rPr>
        <w:t>3、适用法律、法规、规章是否准确，行政裁量基准是否适当；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Fonts w:ascii="仿宋" w:eastAsia="仿宋" w:cs="仿宋" w:hint="eastAsia"/>
          <w:color w:val="333333"/>
          <w:sz w:val="32"/>
          <w:szCs w:val="32"/>
        </w:rPr>
        <w:t>4、程序是否合法；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Fonts w:ascii="仿宋" w:eastAsia="仿宋" w:cs="仿宋" w:hint="eastAsia"/>
          <w:color w:val="333333"/>
          <w:sz w:val="32"/>
          <w:szCs w:val="32"/>
        </w:rPr>
        <w:t>5、是否有超越本机关职权范围或滥用职权的情形；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Fonts w:ascii="仿宋" w:eastAsia="仿宋" w:cs="仿宋" w:hint="eastAsia"/>
          <w:color w:val="333333"/>
          <w:sz w:val="32"/>
          <w:szCs w:val="32"/>
        </w:rPr>
        <w:t>6、行政执法文书是否规范、齐备；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Fonts w:ascii="仿宋" w:eastAsia="仿宋" w:cs="仿宋" w:hint="eastAsia"/>
          <w:color w:val="333333"/>
          <w:sz w:val="32"/>
          <w:szCs w:val="32"/>
        </w:rPr>
        <w:t>7、违法行为是否涉嫌犯罪需要移送司法机关；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Fonts w:ascii="仿宋" w:eastAsia="仿宋" w:cs="仿宋" w:hint="eastAsia"/>
          <w:color w:val="333333"/>
          <w:sz w:val="32"/>
          <w:szCs w:val="32"/>
        </w:rPr>
        <w:t>8、其他应当审核的内容。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Style w:val="18"/>
          <w:rFonts w:ascii="仿宋" w:eastAsia="仿宋" w:cs="仿宋" w:hint="eastAsia"/>
          <w:color w:val="333333"/>
          <w:sz w:val="32"/>
          <w:szCs w:val="32"/>
        </w:rPr>
        <w:t>第九条 </w:t>
      </w:r>
      <w:r>
        <w:rPr>
          <w:rFonts w:ascii="仿宋" w:eastAsia="仿宋" w:cs="仿宋" w:hint="eastAsia"/>
          <w:color w:val="auto"/>
          <w:sz w:val="32"/>
          <w:szCs w:val="32"/>
        </w:rPr>
        <w:t>法制员</w:t>
      </w:r>
      <w:r>
        <w:rPr>
          <w:rFonts w:ascii="仿宋" w:eastAsia="仿宋" w:cs="仿宋" w:hint="eastAsia"/>
          <w:color w:val="333333"/>
          <w:sz w:val="32"/>
          <w:szCs w:val="32"/>
        </w:rPr>
        <w:t>在审核过程中，有权调阅行政执法活动相关材料，必要时可以向当事人进行调查，相关单位和个人应当予以协助配合。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Style w:val="18"/>
          <w:rFonts w:ascii="仿宋" w:eastAsia="仿宋" w:cs="仿宋" w:hint="eastAsia"/>
          <w:color w:val="333333"/>
          <w:sz w:val="32"/>
          <w:szCs w:val="32"/>
        </w:rPr>
        <w:t>第十条</w:t>
      </w:r>
      <w:r>
        <w:rPr>
          <w:rFonts w:ascii="仿宋" w:eastAsia="仿宋" w:cs="仿宋" w:hint="eastAsia"/>
          <w:color w:val="auto"/>
          <w:sz w:val="32"/>
          <w:szCs w:val="32"/>
        </w:rPr>
        <w:t> 法制员</w:t>
      </w:r>
      <w:r>
        <w:rPr>
          <w:rFonts w:ascii="仿宋" w:eastAsia="仿宋" w:cs="仿宋" w:hint="eastAsia"/>
          <w:color w:val="333333"/>
          <w:sz w:val="32"/>
          <w:szCs w:val="32"/>
        </w:rPr>
        <w:t>对拟作出的重大行政执法决定进行审核后，根据不同情况，提出相应的书面意见或建议：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Fonts w:ascii="仿宋" w:eastAsia="仿宋" w:cs="仿宋" w:hint="eastAsia"/>
          <w:color w:val="333333"/>
          <w:sz w:val="32"/>
          <w:szCs w:val="32"/>
        </w:rPr>
        <w:t>1、主要事实清楚、证据确凿、定性准确、程序合法的，提出同意的意见；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Fonts w:ascii="仿宋" w:eastAsia="仿宋" w:cs="仿宋" w:hint="eastAsia"/>
          <w:color w:val="333333"/>
          <w:sz w:val="32"/>
          <w:szCs w:val="32"/>
        </w:rPr>
        <w:t>2、主要事实不清，证据不足的，提出继续调查或不予作出行政执法决定的意见；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Fonts w:ascii="仿宋" w:eastAsia="仿宋" w:cs="仿宋" w:hint="eastAsia"/>
          <w:color w:val="333333"/>
          <w:sz w:val="32"/>
          <w:szCs w:val="32"/>
        </w:rPr>
        <w:t>3、定性不准、适用法律不准确和裁量基准不当的，提出变更意见；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Fonts w:ascii="仿宋" w:eastAsia="仿宋" w:cs="仿宋" w:hint="eastAsia"/>
          <w:color w:val="333333"/>
          <w:sz w:val="32"/>
          <w:szCs w:val="32"/>
        </w:rPr>
        <w:t>4、程序不合法的，提出整改的意见；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Fonts w:ascii="仿宋" w:eastAsia="仿宋" w:cs="仿宋" w:hint="eastAsia"/>
          <w:color w:val="333333"/>
          <w:sz w:val="32"/>
          <w:szCs w:val="32"/>
        </w:rPr>
        <w:t>5、超出本机关管辖范围或涉嫌犯罪的，提出移送的意见。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Style w:val="18"/>
          <w:rFonts w:ascii="仿宋" w:eastAsia="仿宋" w:cs="仿宋" w:hint="eastAsia"/>
          <w:color w:val="333333"/>
          <w:sz w:val="32"/>
          <w:szCs w:val="32"/>
        </w:rPr>
        <w:t>第十一条</w:t>
      </w:r>
      <w:r>
        <w:rPr>
          <w:rStyle w:val="18"/>
          <w:rFonts w:ascii="仿宋" w:eastAsia="仿宋" w:cs="仿宋" w:hint="eastAsia"/>
          <w:color w:val="auto"/>
          <w:sz w:val="32"/>
          <w:szCs w:val="32"/>
        </w:rPr>
        <w:t> </w:t>
      </w:r>
      <w:r>
        <w:rPr>
          <w:rFonts w:ascii="仿宋" w:eastAsia="仿宋" w:cs="仿宋" w:hint="eastAsia"/>
          <w:color w:val="auto"/>
          <w:sz w:val="32"/>
          <w:szCs w:val="32"/>
        </w:rPr>
        <w:t>法制员</w:t>
      </w:r>
      <w:r>
        <w:rPr>
          <w:rFonts w:ascii="仿宋" w:eastAsia="仿宋" w:cs="仿宋" w:hint="eastAsia"/>
          <w:color w:val="333333"/>
          <w:sz w:val="32"/>
          <w:szCs w:val="32"/>
        </w:rPr>
        <w:t>在收到重大行政执法决定送审材料后，应在七个工作日内审核完毕。案情复杂的经本单位负责人批准可以延长五个工作日。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Style w:val="18"/>
          <w:rFonts w:ascii="仿宋" w:eastAsia="仿宋" w:cs="仿宋" w:hint="eastAsia"/>
          <w:color w:val="333333"/>
          <w:sz w:val="32"/>
          <w:szCs w:val="32"/>
        </w:rPr>
        <w:t>第十二条</w:t>
      </w:r>
      <w:r>
        <w:rPr>
          <w:rFonts w:ascii="仿宋" w:eastAsia="仿宋" w:cs="仿宋" w:hint="eastAsia"/>
          <w:color w:val="auto"/>
          <w:sz w:val="32"/>
          <w:szCs w:val="32"/>
        </w:rPr>
        <w:t> 法制员</w:t>
      </w:r>
      <w:r>
        <w:rPr>
          <w:rFonts w:ascii="仿宋" w:eastAsia="仿宋" w:cs="仿宋" w:hint="eastAsia"/>
          <w:color w:val="333333"/>
          <w:sz w:val="32"/>
          <w:szCs w:val="32"/>
        </w:rPr>
        <w:t>审核完毕后，应当出具重大行政执法决定法制审核意见。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Style w:val="18"/>
          <w:rFonts w:ascii="仿宋" w:eastAsia="仿宋" w:cs="仿宋" w:hint="eastAsia"/>
          <w:color w:val="333333"/>
          <w:sz w:val="32"/>
          <w:szCs w:val="32"/>
        </w:rPr>
        <w:t>第十三条 </w:t>
      </w:r>
      <w:r>
        <w:rPr>
          <w:rFonts w:ascii="仿宋" w:eastAsia="仿宋" w:cs="仿宋" w:hint="eastAsia"/>
          <w:color w:val="333333"/>
          <w:sz w:val="32"/>
          <w:szCs w:val="32"/>
        </w:rPr>
        <w:t>案件承办机构或承办人对法制员审核意见和建议应当研究采纳；有异议的应当与法制员协商沟通，经沟通达不成一致意见的，将双方意见一并报送本单位负责人处理。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Style w:val="18"/>
          <w:rFonts w:ascii="仿宋" w:eastAsia="仿宋" w:cs="仿宋" w:hint="eastAsia"/>
          <w:color w:val="333333"/>
          <w:sz w:val="32"/>
          <w:szCs w:val="32"/>
        </w:rPr>
        <w:t>第十四条</w:t>
      </w:r>
      <w:r>
        <w:rPr>
          <w:rFonts w:ascii="仿宋" w:eastAsia="仿宋" w:cs="仿宋" w:hint="eastAsia"/>
          <w:color w:val="333333"/>
          <w:sz w:val="32"/>
          <w:szCs w:val="32"/>
        </w:rPr>
        <w:t> 重大行政执法案件或事项经法制员审核通过后，提交本单位领导集体讨论决定。法制审核未通过的，不得提交领导审批决定。</w:t>
      </w:r>
    </w:p>
    <w:p>
      <w:pPr>
        <w:pStyle w:val="1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ascii="仿宋" w:eastAsia="仿宋" w:cs="仿宋" w:hint="eastAsia"/>
          <w:color w:val="333333"/>
          <w:sz w:val="32"/>
          <w:szCs w:val="32"/>
        </w:rPr>
      </w:pPr>
      <w:r>
        <w:rPr>
          <w:rStyle w:val="18"/>
          <w:rFonts w:ascii="仿宋" w:eastAsia="仿宋" w:cs="仿宋" w:hint="eastAsia"/>
          <w:color w:val="333333"/>
          <w:sz w:val="32"/>
          <w:szCs w:val="32"/>
        </w:rPr>
        <w:t>第十五条 </w:t>
      </w:r>
      <w:r>
        <w:rPr>
          <w:rFonts w:ascii="仿宋" w:eastAsia="仿宋" w:cs="仿宋" w:hint="eastAsia"/>
          <w:color w:val="333333"/>
          <w:sz w:val="32"/>
          <w:szCs w:val="32"/>
        </w:rPr>
        <w:t>本制度自印发之日起执行。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580" w:lineRule="exact"/>
        <w:textAlignment w:val="auto"/>
        <w:rPr>
          <w:rFonts w:ascii="仿宋" w:eastAsia="仿宋" w:cs="仿宋" w:hint="eastAsia"/>
          <w:sz w:val="32"/>
          <w:szCs w:val="32"/>
        </w:rPr>
      </w:pPr>
    </w:p>
    <w:sectPr>
      <w:footerReference w:type="default" r:id="rId2"/>
      <w:pgSz w:w="11906" w:h="16838"/>
      <w:pgMar w:top="1440" w:right="1800" w:bottom="1440" w:left="1800" w:header="708" w:footer="708" w:gutter="0"/>
      <w:docGrid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panose1 w:val="02010600030101010101"/>
    <w:charset w:val="86"/>
    <w:family w:val="auto"/>
    <w:pitch w:val="variable"/>
    <w:sig w:usb0="00000003" w:usb1="288F0000" w:usb2="00000006" w:usb3="00000000" w:csb0="00040001" w:csb1="00000000"/>
  </w:font>
  <w:font w:name="方正小标宋简体">
    <w:altName w:val="黑体"/>
    <w:panose1 w:val="02010601030101010101"/>
    <w:charset w:val="86"/>
    <w:family w:val="script"/>
    <w:pitch w:val="variable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Tahoma">
    <w:panose1 w:val="020B0604030504040204"/>
    <w:charset w:val="00"/>
    <w:family w:val="swiss"/>
    <w:pitch w:val="variable"/>
    <w:sig w:usb0="E1002EFF" w:usb1="C000605B" w:usb2="00000029" w:usb3="00000000" w:csb0="200101FF" w:csb1="2028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</w:fonts>
</file>

<file path=word/footer1.xml><?xml version="1.0" encoding="utf-8"?>
<w:ftr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p>
    <w:pPr>
      <w:pStyle w:val="15"/>
      <w:tabs>
        <w:tab w:val="center" w:pos="4153"/>
        <w:tab w:val="right" w:pos="8306"/>
      </w:tabs>
    </w:pPr>
    <w:r>
      <w:rPr>
        <w:sz w:val="18"/>
      </w:rPr>
      <mc:AlternateContent>
        <mc:Choice Requires="wps">
          <w:drawing>
            <wp:anchor distT="0" distB="0" distL="114298" distR="114298" simplePos="0" relativeHeight="12" behindDoc="0" locked="0" layoutInCell="1" hidden="0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62407" cy="265074"/>
              <wp:effectExtent l="0" t="0" r="0" b="0"/>
              <wp:wrapNone/>
              <wp:docPr id="1" name="文本框 1"/>
              <wp:cNvGraphicFramePr>
                <a:graphicFrameLocks noChangeAspect="0"/>
              </wp:cNvGraphicFramePr>
              <a:graphic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62407" cy="265074"/>
                      </a:xfrm>
                      <a:prstGeom prst="rect"/>
                      <a:noFill/>
                      <a:ln w="6350" cmpd="sng" cap="flat">
                        <a:noFill/>
                        <a:prstDash val="solid"/>
                        <a:round/>
                      </a:ln>
                    </wps:spPr>
                    <wps:txbx id="2">
                      <w:txbxContent>
                        <w:p>
                          <w:pPr>
                            <w:pStyle w:val="15"/>
                            <w:tabs>
                              <w:tab w:val="center" w:pos="4153"/>
                              <w:tab w:val="right" w:pos="8306"/>
                            </w:tabs>
                            <w:rPr>
                              <w:rFonts w:eastAsia="微软雅黑" w:hint="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type="#_x0000_t202" id="文本框 1 3" o:spid="_x0000_s3" filled="f" stroked="f" strokeweight="0.5pt" style="position:absolute;margin-left:0.0pt;margin-top:0.0pt;width:4.9139953pt;height:20.872pt;z-index:12;mso-position-horizontal:center;mso-position-horizontal-relative:margin;mso-position-vertical:absolute;mso-wrap-distance-left:8.999863pt;mso-wrap-distance-right:8.999863pt;mso-wrap-style:none;">
              <v:stroke color="#000000"/>
              <v:textbox id="848" inset="0mm,0mm,0mm,0mm" o:insetmode="custom" style="layout-flow:horizontal;v-text-anchor:top;mso-fit-shape-to-text:t;">
                <w:txbxContent>
                  <w:p>
                    <w:pPr>
                      <w:pStyle w:val="15"/>
                      <w:tabs>
                        <w:tab w:val="center" w:pos="4153"/>
                        <w:tab w:val="right" w:pos="8306"/>
                      </w:tabs>
                      <w:rPr>
                        <w:rFonts w:eastAsia="微软雅黑" w:hint="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0"/>
  <w:bordersDoNotSurroundHeader/>
  <w:bordersDoNotSurroundFooter/>
  <w:documentProtection w:edit="readOnly" w:enforcement="0"/>
  <w:defaultTabStop w:val="720"/>
  <w:drawingGridHorizontalSpacing w:val="110"/>
  <w:drawingGridVerticalSpacing w:val="156"/>
  <w:displayHorizontalDrawingGridEvery w:val="0"/>
  <w:displayVerticalDrawingGridEvery w:val="1"/>
  <w:compat>
    <w:spaceForUL/>
    <w:compatSetting w:name="compatibilityMode" w:uri="http://schemas.microsoft.com/office/word" w:val="14"/>
  </w:compat>
  <w:docVars>
    <w:docVar w:name="commondata" w:val="eyJoZGlkIjoiNmRmNDU3MjgzMGVkODQxZGFkNjZjOTlkODU4NjMxM2EifQ=="/>
  </w:docVars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adjustRightInd w:val="0"/>
      <w:snapToGrid w:val="0"/>
      <w:spacing w:after="200" w:line="240" w:lineRule="auto"/>
    </w:pPr>
    <w:rPr>
      <w:rFonts w:ascii="Tahoma" w:eastAsia="微软雅黑" w:cs="Arial" w:hAnsi="Tahoma"/>
      <w:sz w:val="22"/>
      <w:szCs w:val="2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  <w:style w:type="paragraph" w:styleId="15">
    <w:name w:val="footer"/>
    <w:basedOn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6">
    <w:name w:val="header"/>
    <w:basedOn w:val="0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7">
    <w:name w:val="Normal (Web)"/>
    <w:basedOn w:val="0"/>
    <w:pPr>
      <w:adjustRightInd/>
      <w:snapToGrid/>
      <w:spacing w:before="100" w:beforeAutospacing="1" w:after="100" w:afterAutospacing="1"/>
    </w:pPr>
    <w:rPr>
      <w:rFonts w:ascii="宋体" w:eastAsia="宋体" w:cs="宋体"/>
      <w:sz w:val="24"/>
      <w:szCs w:val="24"/>
    </w:rPr>
  </w:style>
  <w:style w:type="character" w:styleId="18">
    <w:name w:val="Strong"/>
    <w:basedOn w:val="1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17</TotalTime>
  <Application>Yozo_Office27021597764231179</Application>
  <Pages>4</Pages>
  <Words>1534</Words>
  <Characters>1541</Characters>
  <Lines>88</Lines>
  <Paragraphs>48</Paragraphs>
  <CharactersWithSpaces>1556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Administrator</dc:creator>
  <cp:lastModifiedBy>ZJZ</cp:lastModifiedBy>
  <cp:revision>3</cp:revision>
  <cp:lastPrinted>2020-07-28T07:23:00Z</cp:lastPrinted>
  <dcterms:created xsi:type="dcterms:W3CDTF">2008-09-11T17:20:00Z</dcterms:created>
  <dcterms:modified xsi:type="dcterms:W3CDTF">2022-09-08T05:27:29Z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wstr>2052-11.1.0.10314</vt:lpwstr>
  </property>
  <property fmtid="{D5CDD505-2E9C-101B-9397-08002B2CF9AE}" pid="3" name="ICV">
    <vt:lpwstr>7A1CFC8F388B44BB8999EE3C7E819C29</vt:lpwstr>
  </property>
</Properties>
</file>