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ascii="方正小标宋简体" w:eastAsia="方正小标宋简体" w:hint="eastAsia"/>
          <w:color w:val="333333"/>
          <w:sz w:val="36"/>
          <w:szCs w:val="36"/>
        </w:rPr>
      </w:pPr>
      <w:r>
        <w:rPr>
          <w:rFonts w:ascii="方正小标宋简体" w:eastAsia="方正小标宋简体"/>
          <w:color w:val="333333"/>
          <w:sz w:val="36"/>
          <w:szCs w:val="36"/>
          <w:lang w:eastAsia="zh-CN"/>
        </w:rPr>
        <w:t>水堡</w:t>
      </w:r>
      <w:r>
        <w:rPr>
          <w:rFonts w:ascii="方正小标宋简体" w:eastAsia="方正小标宋简体" w:hint="eastAsia"/>
          <w:color w:val="333333"/>
          <w:sz w:val="36"/>
          <w:szCs w:val="36"/>
        </w:rPr>
        <w:t>镇人民政府重大行政执法决定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ascii="方正小标宋简体" w:eastAsia="方正小标宋简体" w:hint="eastAsia"/>
          <w:color w:val="333333"/>
          <w:sz w:val="36"/>
          <w:szCs w:val="36"/>
        </w:rPr>
      </w:pPr>
      <w:r>
        <w:rPr>
          <w:rFonts w:ascii="方正小标宋简体" w:eastAsia="方正小标宋简体" w:hint="eastAsia"/>
          <w:color w:val="333333"/>
          <w:sz w:val="36"/>
          <w:szCs w:val="36"/>
        </w:rPr>
        <w:t>法制审核制度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第一条</w:t>
      </w:r>
      <w:r>
        <w:rPr>
          <w:rFonts w:ascii="微软雅黑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>为了加强对重大行政执法行为的监督，保护公民、法人和其他组织的合法权益，促进依法行政，根据《中华人民共和国行政处罚法》《中华人民共和国行政强制法》《中华人民共和国行政许可法》等法律、法规、规章有关文件的规定，制定本制度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第二条</w:t>
      </w:r>
      <w:r>
        <w:rPr>
          <w:rStyle w:val="18"/>
          <w:rFonts w:ascii="微软雅黑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>本制度所称重大行政执法决定法制审核，是指本单位按照法定程序作出重大行政执法决定之前，由本单位法制员负责对其合法性、适当性进行审核的活动。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第三条</w:t>
      </w:r>
      <w:r>
        <w:rPr>
          <w:rStyle w:val="18"/>
          <w:rFonts w:ascii="微软雅黑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>本制度所称重大行政执法决定，是指作出行政处罚、行政强制、行政许可等行政执法决定，具有下列情形之一的，应当在作出决定前进行法制审核：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1、对公民处以</w:t>
      </w:r>
      <w:r>
        <w:rPr>
          <w:rFonts w:ascii="仿宋_GB2312" w:eastAsia="仿宋_GB2312" w:hint="eastAsia"/>
          <w:color w:val="333333"/>
          <w:sz w:val="32"/>
          <w:szCs w:val="32"/>
          <w:lang w:val="en-US" w:eastAsia="zh-CN"/>
        </w:rPr>
        <w:t>1000</w:t>
      </w:r>
      <w:r>
        <w:rPr>
          <w:rFonts w:ascii="仿宋_GB2312" w:eastAsia="仿宋_GB2312" w:hint="eastAsia"/>
          <w:color w:val="333333"/>
          <w:sz w:val="32"/>
          <w:szCs w:val="32"/>
        </w:rPr>
        <w:t>元以上的罚款，对法人或其他组织处以</w:t>
      </w:r>
      <w:r>
        <w:rPr>
          <w:rFonts w:ascii="仿宋_GB2312" w:eastAsia="仿宋_GB2312" w:hint="eastAsia"/>
          <w:color w:val="333333"/>
          <w:sz w:val="32"/>
          <w:szCs w:val="32"/>
          <w:lang w:val="en-US" w:eastAsia="zh-CN"/>
        </w:rPr>
        <w:t>10000</w:t>
      </w:r>
      <w:r>
        <w:rPr>
          <w:rFonts w:ascii="仿宋_GB2312" w:eastAsia="仿宋_GB2312" w:hint="eastAsia"/>
          <w:color w:val="333333"/>
          <w:sz w:val="32"/>
          <w:szCs w:val="32"/>
        </w:rPr>
        <w:t>元以上的罚款；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2、没收违法所得或没收非法财物价值相当于第一项规定的数额；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3、责令停产停业；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4、吊销许可证；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  <w:lang w:val="en-US" w:eastAsia="zh-CN"/>
        </w:rPr>
        <w:t>5</w:t>
      </w:r>
      <w:r>
        <w:rPr>
          <w:rFonts w:ascii="仿宋_GB2312" w:eastAsia="仿宋_GB2312" w:hint="eastAsia"/>
          <w:color w:val="333333"/>
          <w:sz w:val="32"/>
          <w:szCs w:val="32"/>
        </w:rPr>
        <w:t>、法律、法规、规章规定应当举行听证的，或者本单位认为需要听证且涉及公共利益的，或者直接涉及申请人与他人之间重大利益关系，申请人、利害关系人要求听证的行政许可决定；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  <w:lang w:val="en-US" w:eastAsia="zh-CN"/>
        </w:rPr>
        <w:t>6</w:t>
      </w:r>
      <w:r>
        <w:rPr>
          <w:rFonts w:ascii="仿宋_GB2312" w:eastAsia="仿宋_GB2312" w:hint="eastAsia"/>
          <w:color w:val="333333"/>
          <w:sz w:val="32"/>
          <w:szCs w:val="32"/>
        </w:rPr>
        <w:t>、其他法律、法规、规章规定应当进行法制审核的。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第四条</w:t>
      </w:r>
      <w:r>
        <w:rPr>
          <w:rFonts w:ascii="微软雅黑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>重大行政执法决定进行法制审核是作出决定前的必经程序，未经法制审核或者审核未通过的，不得作出决定。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第五条</w:t>
      </w:r>
      <w:r>
        <w:rPr>
          <w:rStyle w:val="18"/>
          <w:rFonts w:ascii="微软雅黑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>案件承办机构或承办人在调（审）查终结后作出行政执法决定前，对符合重大行政执法决定条件的案件和事项应当送法制员进行审核。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第六条</w:t>
      </w:r>
      <w:r>
        <w:rPr>
          <w:rStyle w:val="18"/>
          <w:rFonts w:ascii="微软雅黑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>案件承办机构或承办人在送审时应当提交下列材料：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1、重大行政执法决定的调查终结报告；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2、重大行政执法决定建议或者意见及其情况说明；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3、重大行政执法决定书代拟稿；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4、拟作出重大行政执法决定的相关证据资料和依据；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5、经听证或者专家审查、评估的，还应当提交听证笔录或者审查、评估报告；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6、其他需要提交的材料。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法制员认为提交材料不齐全的，可以要求案件承办机构或承办人在指定时间提交。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第七条</w:t>
      </w:r>
      <w:r>
        <w:rPr>
          <w:rFonts w:ascii="微软雅黑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>重大行政执法决定建议情况说明应当载明以下内容：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1、基本事实；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2、适用法律、法规、规章和行政裁量基准的情况；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3、行政执法人员资格情况；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4、调查取证和听证情况；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5、其他需要说明的情况。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第八条</w:t>
      </w:r>
      <w:r>
        <w:rPr>
          <w:rStyle w:val="18"/>
          <w:rFonts w:ascii="微软雅黑" w:eastAsia="仿宋_GB2312" w:hAnsi="微软雅黑" w:hint="eastAsia"/>
          <w:color w:val="auto"/>
          <w:sz w:val="32"/>
          <w:szCs w:val="32"/>
        </w:rPr>
        <w:t> </w:t>
      </w:r>
      <w:r>
        <w:rPr>
          <w:rFonts w:ascii="仿宋_GB2312" w:eastAsia="仿宋_GB2312" w:hint="eastAsia"/>
          <w:color w:val="auto"/>
          <w:sz w:val="32"/>
          <w:szCs w:val="32"/>
        </w:rPr>
        <w:t>法制员</w:t>
      </w:r>
      <w:r>
        <w:rPr>
          <w:rFonts w:ascii="仿宋_GB2312" w:eastAsia="仿宋_GB2312" w:hint="eastAsia"/>
          <w:color w:val="333333"/>
          <w:sz w:val="32"/>
          <w:szCs w:val="32"/>
        </w:rPr>
        <w:t>对于拟作出的重大行政执法决定，仅对提交的书面材料进行审核：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1、执法主体是否合法，行政执法人员是否具备执法资格；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2、主要事实是否清楚，证据是否确凿、充分；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3、适用法律、法规、规章是否准确，行政裁量基准是否适当；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4、程序是否合法；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5、是否有超越本机关职权范围或滥用职权的情形；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6、行政执法文书是否规范、齐备；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7、违法行为是否涉嫌犯罪需要移送司法机关；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8、其他应当审核的内容。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第九条</w:t>
      </w:r>
      <w:r>
        <w:rPr>
          <w:rStyle w:val="18"/>
          <w:rFonts w:ascii="微软雅黑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auto"/>
          <w:sz w:val="32"/>
          <w:szCs w:val="32"/>
        </w:rPr>
        <w:t>法制员</w:t>
      </w:r>
      <w:r>
        <w:rPr>
          <w:rFonts w:ascii="仿宋_GB2312" w:eastAsia="仿宋_GB2312" w:hint="eastAsia"/>
          <w:color w:val="333333"/>
          <w:sz w:val="32"/>
          <w:szCs w:val="32"/>
        </w:rPr>
        <w:t>在审核过程中，有权调阅行政执法活动相关材料，必要时可以向当事人进行调查，相关单位和个人应当予以协助配合。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第十条</w:t>
      </w:r>
      <w:r>
        <w:rPr>
          <w:rFonts w:ascii="微软雅黑" w:eastAsia="仿宋_GB2312" w:hAnsi="微软雅黑" w:hint="eastAsia"/>
          <w:color w:val="auto"/>
          <w:sz w:val="32"/>
          <w:szCs w:val="32"/>
        </w:rPr>
        <w:t> </w:t>
      </w:r>
      <w:r>
        <w:rPr>
          <w:rFonts w:ascii="仿宋_GB2312" w:eastAsia="仿宋_GB2312" w:hint="eastAsia"/>
          <w:color w:val="auto"/>
          <w:sz w:val="32"/>
          <w:szCs w:val="32"/>
        </w:rPr>
        <w:t>法制员</w:t>
      </w:r>
      <w:r>
        <w:rPr>
          <w:rFonts w:ascii="仿宋_GB2312" w:eastAsia="仿宋_GB2312" w:hint="eastAsia"/>
          <w:color w:val="333333"/>
          <w:sz w:val="32"/>
          <w:szCs w:val="32"/>
        </w:rPr>
        <w:t>对拟作出的重大行政执法决定进行审核后，根据不同情况，提出相应的书面意见或建议：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1、主要事实清楚、证据确凿、定性准确、程序合法的，提出同意的意见；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2、主要事实不清，证据不足的，提出继续调查或不予作出行政执法决定的意见；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3、定性不准、适用法律不准确和裁量基准不当的，提出变更意见；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4、程序不合法的，提出整改的意见；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5、超出本机关管辖范围或涉嫌犯罪的，提出移送的意见。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第十一条</w:t>
      </w:r>
      <w:r>
        <w:rPr>
          <w:rStyle w:val="18"/>
          <w:rFonts w:ascii="微软雅黑" w:eastAsia="仿宋_GB2312" w:hAnsi="微软雅黑" w:hint="eastAsia"/>
          <w:color w:val="auto"/>
          <w:sz w:val="32"/>
          <w:szCs w:val="32"/>
        </w:rPr>
        <w:t> </w:t>
      </w:r>
      <w:r>
        <w:rPr>
          <w:rFonts w:ascii="仿宋_GB2312" w:eastAsia="仿宋_GB2312" w:hint="eastAsia"/>
          <w:color w:val="auto"/>
          <w:sz w:val="32"/>
          <w:szCs w:val="32"/>
        </w:rPr>
        <w:t>法制员</w:t>
      </w:r>
      <w:r>
        <w:rPr>
          <w:rFonts w:ascii="仿宋_GB2312" w:eastAsia="仿宋_GB2312" w:hint="eastAsia"/>
          <w:color w:val="333333"/>
          <w:sz w:val="32"/>
          <w:szCs w:val="32"/>
        </w:rPr>
        <w:t>在收到重大行政执法决定送审材料后，应在七个工作日内审核完毕。案情复杂的经本单位负责人批准可以延长五个工作日。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第十二条</w:t>
      </w:r>
      <w:r>
        <w:rPr>
          <w:rFonts w:ascii="微软雅黑" w:eastAsia="仿宋_GB2312" w:hAnsi="微软雅黑" w:hint="eastAsia"/>
          <w:color w:val="auto"/>
          <w:sz w:val="32"/>
          <w:szCs w:val="32"/>
        </w:rPr>
        <w:t> </w:t>
      </w:r>
      <w:r>
        <w:rPr>
          <w:rFonts w:ascii="仿宋_GB2312" w:eastAsia="仿宋_GB2312" w:hint="eastAsia"/>
          <w:color w:val="auto"/>
          <w:sz w:val="32"/>
          <w:szCs w:val="32"/>
        </w:rPr>
        <w:t>法制员</w:t>
      </w:r>
      <w:r>
        <w:rPr>
          <w:rFonts w:ascii="仿宋_GB2312" w:eastAsia="仿宋_GB2312" w:hint="eastAsia"/>
          <w:color w:val="333333"/>
          <w:sz w:val="32"/>
          <w:szCs w:val="32"/>
        </w:rPr>
        <w:t>审核完毕后，应当出具重大行政执法决定法制审核意见。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第十三条</w:t>
      </w:r>
      <w:r>
        <w:rPr>
          <w:rStyle w:val="18"/>
          <w:rFonts w:ascii="微软雅黑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>案件承办机构或承办人对法制员审核意见和建议应当研究采纳；有异议的应当与法制员协商沟通，经沟通达不成一致意见的，将双方意见一并报送本单位负责人处理。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第十四条</w:t>
      </w:r>
      <w:r>
        <w:rPr>
          <w:rFonts w:ascii="微软雅黑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>重大行政执法案件或事项经法制员审核通过后，提交本单位领导集体讨论决定。法制审核未通过的，不得提交领导审批决定。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rPr>
          <w:rFonts w:ascii="仿宋_GB2312" w:eastAsia="仿宋_GB2312" w:hint="eastAsia"/>
          <w:color w:val="333333"/>
          <w:sz w:val="32"/>
          <w:szCs w:val="32"/>
        </w:rPr>
      </w:pPr>
      <w:r>
        <w:rPr>
          <w:rStyle w:val="18"/>
          <w:rFonts w:ascii="仿宋_GB2312" w:eastAsia="仿宋_GB2312" w:hint="eastAsia"/>
          <w:color w:val="333333"/>
          <w:sz w:val="32"/>
          <w:szCs w:val="32"/>
        </w:rPr>
        <w:t>第十五条</w:t>
      </w:r>
      <w:r>
        <w:rPr>
          <w:rStyle w:val="18"/>
          <w:rFonts w:ascii="微软雅黑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>本制度自印发之日起执行。</w:t>
      </w:r>
    </w:p>
    <w:p>
      <w:pPr>
        <w:spacing w:line="220" w:lineRule="atLeast"/>
      </w:pPr>
    </w:p>
    <w:sectPr>
      <w:footerReference w:type="default" r:id="rId2"/>
      <w:pgSz w:w="11906" w:h="16838"/>
      <w:pgMar w:top="1440" w:right="1800" w:bottom="1440" w:left="1800" w:header="708" w:footer="708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小标宋简体">
    <w:altName w:val="黑体"/>
    <w:panose1 w:val="02010601030101010101"/>
    <w:charset w:val="86"/>
    <w:family w:val="script"/>
    <w:pitch w:val="variable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variable"/>
    <w:sig w:usb0="00000000" w:usb1="00000000" w:usb2="00000000" w:usb3="00000000" w:csb0="00040000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200101FF" w:csb1="20280000"/>
  </w:font>
  <w:font w:name="Arial">
    <w:panose1 w:val="020B0604020202020204"/>
    <w:charset w:val="01"/>
    <w:family w:val="swiss"/>
    <w:pitch w:val="variable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5"/>
      <w:tabs>
        <w:tab w:val="center" w:pos="4153"/>
        <w:tab w:val="right" w:pos="8306"/>
      </w:tabs>
    </w:pPr>
    <w:r>
      <w:rPr>
        <w:sz w:val="18"/>
      </w:rPr>
      <mc:AlternateContent>
        <mc:Choice Requires="wps">
          <w:drawing>
            <wp:anchor distT="0" distB="0" distL="114298" distR="114298" simplePos="0" relativeHeight="12" behindDoc="0" locked="0" layoutInCell="1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2407" cy="265074"/>
              <wp:effectExtent l="0" t="0" r="0" b="0"/>
              <wp:wrapNone/>
              <wp:docPr id="1" name="文本框 1"/>
              <wp:cNvGraphicFramePr>
                <a:graphicFrameLocks noChangeAspect="0"/>
              </wp:cNvGraphicFramePr>
              <a:graphic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2407" cy="265074"/>
                      </a:xfrm>
                      <a:prstGeom prst="rect"/>
                      <a:noFill/>
                      <a:ln w="6350" cmpd="sng" cap="flat">
                        <a:noFill/>
                        <a:prstDash val="solid"/>
                        <a:round/>
                      </a:ln>
                    </wps:spPr>
                    <wps:txbx id="2">
                      <w:txbxContent>
                        <w:p>
                          <w:pPr>
                            <w:pStyle w:val="15"/>
                            <w:tabs>
                              <w:tab w:val="center" w:pos="4153"/>
                              <w:tab w:val="right" w:pos="8306"/>
                            </w:tabs>
                            <w:rPr>
                              <w:rFonts w:eastAsia="微软雅黑" w:hint="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type="#_x0000_t202" id="文本框 1 3" o:spid="_x0000_s3" filled="f" stroked="f" strokeweight="0.5pt" style="position:absolute;margin-left:0.0pt;margin-top:0.0pt;width:4.9139953pt;height:20.872pt;z-index:12;mso-position-horizontal:center;mso-position-horizontal-relative:margin;mso-position-vertical:absolute;mso-wrap-distance-left:8.999863pt;mso-wrap-distance-right:8.999863pt;mso-wrap-style:none;">
              <v:stroke color="#000000"/>
              <v:textbox id="848" inset="0mm,0mm,0mm,0mm" o:insetmode="custom" style="layout-flow:horizontal;v-text-anchor:top;mso-fit-shape-to-text:t;">
                <w:txbxContent>
                  <w:p>
                    <w:pPr>
                      <w:pStyle w:val="15"/>
                      <w:tabs>
                        <w:tab w:val="center" w:pos="4153"/>
                        <w:tab w:val="right" w:pos="8306"/>
                      </w:tabs>
                      <w:rPr>
                        <w:rFonts w:eastAsia="微软雅黑" w:hint="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bordersDoNotSurroundHeader/>
  <w:bordersDoNotSurroundFooter/>
  <w:documentProtection w:edit="readOnly" w:enforcement="0"/>
  <w:defaultTabStop w:val="720"/>
  <w:drawingGridHorizontalSpacing w:val="110"/>
  <w:drawingGridVerticalSpacing w:val="156"/>
  <w:displayHorizontalDrawingGridEvery w:val="0"/>
  <w:displayVerticalDrawingGridEvery w:val="1"/>
  <w:compat>
    <w:spaceForUL/>
    <w:compatSetting w:name="compatibilityMode" w:uri="http://schemas.microsoft.com/office/word" w:val="14"/>
  </w:compat>
  <w:docVars>
    <w:docVar w:name="commondata" w:val="eyJoZGlkIjoiNmRmNDU3MjgzMGVkODQxZGFkNjZjOTlkODU4NjMxM2E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adjustRightInd w:val="0"/>
      <w:snapToGrid w:val="0"/>
      <w:spacing w:after="200" w:line="240" w:lineRule="auto"/>
    </w:pPr>
    <w:rPr>
      <w:rFonts w:ascii="Tahoma" w:eastAsia="微软雅黑" w:cs="Arial" w:hAnsi="Tahoma"/>
      <w:sz w:val="22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footer"/>
    <w:basedOn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Normal (Web)"/>
    <w:basedOn w:val="0"/>
    <w:pPr>
      <w:adjustRightInd/>
      <w:snapToGrid/>
      <w:spacing w:before="100" w:beforeAutospacing="1" w:after="100" w:afterAutospacing="1"/>
    </w:pPr>
    <w:rPr>
      <w:rFonts w:ascii="宋体" w:eastAsia="宋体" w:cs="宋体"/>
      <w:sz w:val="24"/>
      <w:szCs w:val="24"/>
    </w:rPr>
  </w:style>
  <w:style w:type="character" w:styleId="18">
    <w:name w:val="Strong"/>
    <w:basedOn w:val="1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18</TotalTime>
  <Application>Yozo_Office27021597764231179</Application>
  <Pages>1</Pages>
  <Words>21</Words>
  <Characters>21</Characters>
  <Lines>2</Lines>
  <Paragraphs>2</Paragraphs>
  <CharactersWithSpaces>21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Administrator</cp:lastModifiedBy>
  <cp:revision>3</cp:revision>
  <cp:lastPrinted>2020-07-28T07:23:00Z</cp:lastPrinted>
  <dcterms:created xsi:type="dcterms:W3CDTF">2008-09-11T17:20:00Z</dcterms:created>
  <dcterms:modified xsi:type="dcterms:W3CDTF">2022-08-17T07:47:29Z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2052-11.1.0.12302</vt:lpwstr>
  </property>
  <property fmtid="{D5CDD505-2E9C-101B-9397-08002B2CF9AE}" pid="3" name="ICV">
    <vt:lpwstr>7A1CFC8F388B44BB8999EE3C7E819C29</vt:lpwstr>
  </property>
</Properties>
</file>