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ind w:firstLineChars="300" w:firstLine="1080"/>
        <w:jc w:val="left"/>
        <w:rPr>
          <w:rFonts w:ascii="宋体"/>
          <w:b/>
          <w:sz w:val="36"/>
          <w:szCs w:val="36"/>
        </w:rPr>
      </w:pPr>
    </w:p>
    <w:p>
      <w:pPr>
        <w:ind w:firstLineChars="300" w:firstLine="1080"/>
        <w:jc w:val="left"/>
        <w:rPr>
          <w:rFonts w:ascii="宋体"/>
          <w:b/>
          <w:sz w:val="36"/>
          <w:szCs w:val="36"/>
        </w:rPr>
      </w:pPr>
    </w:p>
    <w:p>
      <w:pPr>
        <w:ind w:firstLineChars="300" w:firstLine="1080"/>
        <w:jc w:val="left"/>
        <w:rPr>
          <w:rFonts w:ascii="宋体"/>
          <w:b/>
          <w:sz w:val="36"/>
          <w:szCs w:val="36"/>
        </w:rPr>
      </w:pPr>
    </w:p>
    <w:p>
      <w:pPr>
        <w:ind w:firstLineChars="300" w:firstLine="1080"/>
        <w:jc w:val="left"/>
        <w:rPr>
          <w:rFonts w:ascii="宋体"/>
          <w:b/>
          <w:sz w:val="36"/>
          <w:szCs w:val="36"/>
        </w:rPr>
      </w:pPr>
    </w:p>
    <w:p>
      <w:pPr>
        <w:ind w:left="0"/>
        <w:jc w:val="left"/>
        <w:rPr>
          <w:rFonts w:ascii="宋体"/>
          <w:b/>
          <w:sz w:val="36"/>
          <w:szCs w:val="36"/>
        </w:rPr>
      </w:pPr>
    </w:p>
    <w:p>
      <w:pPr>
        <w:ind w:firstLineChars="300" w:firstLine="1080"/>
        <w:jc w:val="left"/>
        <w:rPr>
          <w:rFonts w:ascii="宋体" w:eastAsia="宋体" w:hint="eastAsia"/>
          <w:b/>
          <w:sz w:val="36"/>
          <w:szCs w:val="36"/>
          <w:lang w:eastAsia="zh-CN"/>
        </w:rPr>
      </w:pPr>
      <w:r>
        <w:rPr>
          <w:rFonts w:ascii="宋体" w:hint="eastAsia"/>
          <w:b/>
          <w:sz w:val="36"/>
          <w:szCs w:val="36"/>
        </w:rPr>
        <w:t>涞源县</w:t>
      </w:r>
      <w:r>
        <w:rPr>
          <w:rFonts w:ascii="宋体" w:hint="eastAsia"/>
          <w:b/>
          <w:sz w:val="36"/>
          <w:szCs w:val="36"/>
          <w:lang w:eastAsia="zh-CN"/>
        </w:rPr>
        <w:t>司法</w:t>
      </w:r>
      <w:r>
        <w:rPr>
          <w:rFonts w:ascii="宋体" w:hint="eastAsia"/>
          <w:b/>
          <w:sz w:val="36"/>
          <w:szCs w:val="36"/>
        </w:rPr>
        <w:t>局</w:t>
      </w:r>
      <w:r>
        <w:rPr>
          <w:rFonts w:ascii="宋体"/>
          <w:b/>
          <w:sz w:val="36"/>
          <w:szCs w:val="36"/>
        </w:rPr>
        <w:t>20</w:t>
      </w:r>
      <w:r>
        <w:rPr>
          <w:rFonts w:ascii="宋体" w:hint="eastAsia"/>
          <w:b/>
          <w:sz w:val="36"/>
          <w:szCs w:val="36"/>
        </w:rPr>
        <w:t>2</w:t>
      </w:r>
      <w:r>
        <w:rPr>
          <w:rFonts w:ascii="宋体"/>
          <w:b/>
          <w:sz w:val="36"/>
          <w:szCs w:val="36"/>
        </w:rPr>
        <w:t>5年</w:t>
      </w:r>
      <w:r>
        <w:rPr>
          <w:rFonts w:ascii="宋体" w:hint="eastAsia"/>
          <w:b/>
          <w:sz w:val="36"/>
          <w:szCs w:val="36"/>
          <w:lang w:eastAsia="zh-CN"/>
        </w:rPr>
        <w:t>“双随机、一公开”</w:t>
      </w:r>
    </w:p>
    <w:p>
      <w:pPr>
        <w:ind w:firstLineChars="450" w:firstLine="1620"/>
        <w:jc w:val="left"/>
        <w:rPr>
          <w:rFonts w:ascii="仿宋" w:eastAsia="仿宋"/>
          <w:b/>
          <w:sz w:val="36"/>
          <w:szCs w:val="36"/>
        </w:rPr>
      </w:pPr>
      <w:r>
        <w:rPr>
          <w:rFonts w:ascii="宋体"/>
          <w:b/>
          <w:sz w:val="36"/>
          <w:szCs w:val="36"/>
        </w:rPr>
        <w:t>内部联合随机抽查工作</w:t>
      </w:r>
      <w:r>
        <w:rPr>
          <w:rFonts w:ascii="宋体" w:hint="eastAsia"/>
          <w:b/>
          <w:sz w:val="36"/>
          <w:szCs w:val="36"/>
          <w:lang w:eastAsia="zh-CN"/>
        </w:rPr>
        <w:t>实施</w:t>
      </w:r>
      <w:r>
        <w:rPr>
          <w:rFonts w:ascii="宋体"/>
          <w:b/>
          <w:sz w:val="36"/>
          <w:szCs w:val="36"/>
        </w:rPr>
        <w:t>方案</w:t>
      </w:r>
    </w:p>
    <w:p>
      <w:pPr>
        <w:ind w:firstLineChars="200" w:firstLine="640"/>
        <w:rPr>
          <w:rFonts w:ascii="仿宋" w:eastAsia="仿宋"/>
          <w:color w:val="FF0000"/>
          <w:sz w:val="32"/>
          <w:szCs w:val="32"/>
        </w:rPr>
      </w:pPr>
    </w:p>
    <w:p>
      <w:pPr>
        <w:ind w:firstLineChars="200" w:firstLine="640"/>
        <w:rPr>
          <w:rFonts w:ascii="仿宋" w:eastAsia="仿宋"/>
          <w:sz w:val="32"/>
          <w:szCs w:val="32"/>
        </w:rPr>
      </w:pPr>
    </w:p>
    <w:p>
      <w:pPr>
        <w:ind w:firstLineChars="200" w:firstLine="640"/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  <w:lang w:eastAsia="zh-CN"/>
        </w:rPr>
        <w:t>涞源</w:t>
      </w:r>
      <w:r>
        <w:rPr>
          <w:rFonts w:ascii="仿宋" w:eastAsia="仿宋"/>
          <w:sz w:val="32"/>
          <w:szCs w:val="32"/>
        </w:rPr>
        <w:t>县</w:t>
      </w:r>
      <w:r>
        <w:rPr>
          <w:rFonts w:ascii="仿宋" w:eastAsia="仿宋" w:hint="eastAsia"/>
          <w:sz w:val="32"/>
          <w:szCs w:val="32"/>
          <w:lang w:eastAsia="zh-CN"/>
        </w:rPr>
        <w:t>司法行政</w:t>
      </w:r>
      <w:r>
        <w:rPr>
          <w:rFonts w:ascii="仿宋" w:eastAsia="仿宋"/>
          <w:sz w:val="32"/>
          <w:szCs w:val="32"/>
        </w:rPr>
        <w:t>系统 2025年内部联合随机抽查工作方案为深入推进全省</w:t>
      </w:r>
      <w:r>
        <w:rPr>
          <w:rFonts w:ascii="仿宋" w:eastAsia="仿宋" w:hint="eastAsia"/>
          <w:sz w:val="32"/>
          <w:szCs w:val="32"/>
          <w:lang w:eastAsia="zh-CN"/>
        </w:rPr>
        <w:t>司法行政</w:t>
      </w:r>
      <w:r>
        <w:rPr>
          <w:rFonts w:ascii="仿宋" w:eastAsia="仿宋"/>
          <w:sz w:val="32"/>
          <w:szCs w:val="32"/>
        </w:rPr>
        <w:t>系统内部“双随机、一公开”监管工作，按照《</w:t>
      </w:r>
      <w:r>
        <w:rPr>
          <w:rFonts w:ascii="仿宋" w:eastAsia="仿宋" w:hint="eastAsia"/>
          <w:sz w:val="32"/>
          <w:szCs w:val="32"/>
        </w:rPr>
        <w:t>涞源县</w:t>
      </w:r>
      <w:r>
        <w:rPr>
          <w:rFonts w:ascii="仿宋" w:eastAsia="仿宋" w:hint="eastAsia"/>
          <w:sz w:val="32"/>
          <w:szCs w:val="32"/>
          <w:lang w:eastAsia="zh-CN"/>
        </w:rPr>
        <w:t>司法</w:t>
      </w:r>
      <w:r>
        <w:rPr>
          <w:rFonts w:ascii="仿宋" w:eastAsia="仿宋"/>
          <w:sz w:val="32"/>
          <w:szCs w:val="32"/>
        </w:rPr>
        <w:t>局 2025年“双随机、一公开”监管工作实施方案》的要求，我局决定组织开展 2025年全县</w:t>
      </w:r>
      <w:r>
        <w:rPr>
          <w:rFonts w:ascii="仿宋" w:eastAsia="仿宋" w:hint="eastAsia"/>
          <w:sz w:val="32"/>
          <w:szCs w:val="32"/>
          <w:lang w:eastAsia="zh-CN"/>
        </w:rPr>
        <w:t>司法行政</w:t>
      </w:r>
      <w:r>
        <w:rPr>
          <w:rFonts w:ascii="仿宋" w:eastAsia="仿宋"/>
          <w:sz w:val="32"/>
          <w:szCs w:val="32"/>
        </w:rPr>
        <w:t>系统内部联合“双随机</w:t>
      </w:r>
      <w:r>
        <w:rPr>
          <w:rFonts w:ascii="仿宋" w:eastAsia="仿宋" w:hint="eastAsia"/>
          <w:sz w:val="32"/>
          <w:szCs w:val="32"/>
        </w:rPr>
        <w:t>、</w:t>
      </w:r>
      <w:r>
        <w:rPr>
          <w:rFonts w:ascii="仿宋" w:eastAsia="仿宋"/>
          <w:sz w:val="32"/>
          <w:szCs w:val="32"/>
        </w:rPr>
        <w:t>一公开”抽查，制定本工作方案。</w:t>
      </w:r>
    </w:p>
    <w:p>
      <w:pPr>
        <w:ind w:firstLineChars="200" w:firstLine="640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一、</w:t>
      </w:r>
      <w:r>
        <w:rPr>
          <w:rFonts w:ascii="黑体" w:eastAsia="黑体"/>
          <w:sz w:val="32"/>
          <w:szCs w:val="32"/>
        </w:rPr>
        <w:t>抽查时间</w:t>
      </w:r>
      <w:r>
        <w:rPr>
          <w:rFonts w:ascii="仿宋" w:eastAsia="仿宋"/>
          <w:sz w:val="32"/>
          <w:szCs w:val="32"/>
        </w:rPr>
        <w:t xml:space="preserve"> </w:t>
      </w:r>
    </w:p>
    <w:p>
      <w:pPr>
        <w:ind w:firstLineChars="200" w:firstLine="640"/>
        <w:rPr>
          <w:rFonts w:ascii="仿宋" w:eastAsia="仿宋"/>
          <w:color w:val="FF0000"/>
          <w:sz w:val="32"/>
          <w:szCs w:val="32"/>
        </w:rPr>
      </w:pPr>
      <w:r>
        <w:rPr>
          <w:rFonts w:ascii="仿宋" w:eastAsia="仿宋"/>
          <w:sz w:val="32"/>
          <w:szCs w:val="32"/>
        </w:rPr>
        <w:t>2025年9月</w:t>
      </w:r>
      <w:r>
        <w:rPr>
          <w:rFonts w:ascii="仿宋" w:eastAsia="仿宋" w:hint="eastAsia"/>
          <w:sz w:val="32"/>
          <w:szCs w:val="32"/>
          <w:lang w:val="en-US" w:eastAsia="zh-CN"/>
        </w:rPr>
        <w:t>1</w:t>
      </w:r>
      <w:r>
        <w:rPr>
          <w:rFonts w:ascii="仿宋" w:eastAsia="仿宋"/>
          <w:sz w:val="32"/>
          <w:szCs w:val="32"/>
        </w:rPr>
        <w:t>日至 2025年</w:t>
      </w:r>
      <w:r>
        <w:rPr>
          <w:rFonts w:ascii="仿宋" w:eastAsia="仿宋" w:hint="eastAsia"/>
          <w:sz w:val="32"/>
          <w:szCs w:val="32"/>
          <w:lang w:val="en-US" w:eastAsia="zh-CN"/>
        </w:rPr>
        <w:t xml:space="preserve"> </w:t>
      </w:r>
      <w:r>
        <w:rPr>
          <w:rFonts w:ascii="仿宋" w:eastAsia="仿宋"/>
          <w:sz w:val="32"/>
          <w:szCs w:val="32"/>
          <w:lang w:val="en-US" w:eastAsia="zh-CN"/>
        </w:rPr>
        <w:t>9</w:t>
      </w:r>
      <w:r>
        <w:rPr>
          <w:rFonts w:ascii="仿宋" w:eastAsia="仿宋"/>
          <w:sz w:val="32"/>
          <w:szCs w:val="32"/>
        </w:rPr>
        <w:t>月</w:t>
      </w:r>
      <w:r>
        <w:rPr>
          <w:rFonts w:ascii="仿宋" w:eastAsia="仿宋" w:hint="eastAsia"/>
          <w:sz w:val="32"/>
          <w:szCs w:val="32"/>
          <w:lang w:val="en-US" w:eastAsia="zh-CN"/>
        </w:rPr>
        <w:t>3</w:t>
      </w:r>
      <w:r>
        <w:rPr>
          <w:rFonts w:ascii="仿宋" w:eastAsia="仿宋"/>
          <w:sz w:val="32"/>
          <w:szCs w:val="32"/>
          <w:lang w:val="en-US" w:eastAsia="zh-CN"/>
        </w:rPr>
        <w:t>0</w:t>
      </w:r>
      <w:r>
        <w:rPr>
          <w:rFonts w:ascii="仿宋" w:eastAsia="仿宋"/>
          <w:sz w:val="32"/>
          <w:szCs w:val="32"/>
        </w:rPr>
        <w:t>日。</w:t>
      </w:r>
    </w:p>
    <w:p>
      <w:pPr>
        <w:ind w:firstLineChars="200" w:firstLine="640"/>
        <w:rPr>
          <w:rFonts w:ascii="仿宋" w:eastAsia="仿宋"/>
          <w:color w:val="000000"/>
          <w:sz w:val="32"/>
          <w:szCs w:val="32"/>
        </w:rPr>
      </w:pPr>
      <w:r>
        <w:rPr>
          <w:rFonts w:ascii="黑体" w:eastAsia="黑体"/>
          <w:color w:val="000000"/>
          <w:sz w:val="32"/>
          <w:szCs w:val="32"/>
        </w:rPr>
        <w:t>二</w:t>
      </w:r>
      <w:r>
        <w:rPr>
          <w:rFonts w:ascii="黑体" w:eastAsia="黑体" w:hint="eastAsia"/>
          <w:color w:val="000000"/>
          <w:sz w:val="32"/>
          <w:szCs w:val="32"/>
        </w:rPr>
        <w:t>、</w:t>
      </w:r>
      <w:r>
        <w:rPr>
          <w:rFonts w:ascii="黑体" w:eastAsia="黑体"/>
          <w:color w:val="000000"/>
          <w:sz w:val="32"/>
          <w:szCs w:val="32"/>
        </w:rPr>
        <w:t>抽查对象及比例</w:t>
      </w:r>
      <w:r>
        <w:rPr>
          <w:rFonts w:ascii="黑体" w:eastAsia="黑体" w:hint="eastAsia"/>
          <w:color w:val="000000"/>
          <w:sz w:val="32"/>
          <w:szCs w:val="32"/>
        </w:rPr>
        <w:t xml:space="preserve"> </w:t>
      </w:r>
    </w:p>
    <w:p>
      <w:pPr>
        <w:tabs>
          <w:tab w:val="left" w:pos="1156"/>
        </w:tabs>
        <w:ind w:left="0" w:firstLineChars="200" w:firstLine="640"/>
        <w:rPr>
          <w:rFonts w:ascii="仿宋" w:eastAsia="仿宋" w:cs="Arial"/>
          <w:sz w:val="32"/>
          <w:szCs w:val="32"/>
        </w:rPr>
      </w:pPr>
      <w:r>
        <w:rPr>
          <w:rFonts w:ascii="仿宋" w:eastAsia="仿宋" w:hint="eastAsia"/>
          <w:sz w:val="32"/>
          <w:szCs w:val="32"/>
          <w:lang w:eastAsia="zh-CN"/>
        </w:rPr>
        <w:t>抽查对象：全县</w:t>
      </w:r>
      <w:r>
        <w:rPr>
          <w:rFonts w:ascii="仿宋" w:eastAsia="仿宋" w:hint="eastAsia"/>
          <w:sz w:val="32"/>
          <w:szCs w:val="32"/>
          <w:lang w:val="en-US" w:eastAsia="zh-CN"/>
        </w:rPr>
        <w:t>律师行业</w:t>
      </w:r>
      <w:r>
        <w:rPr>
          <w:rFonts w:asci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eastAsia="仿宋" w:cs="Arial" w:hint="eastAsia"/>
          <w:sz w:val="32"/>
          <w:szCs w:val="32"/>
        </w:rPr>
        <w:t>司法鉴定机构</w:t>
      </w:r>
      <w:r>
        <w:rPr>
          <w:rFonts w:ascii="仿宋" w:eastAsia="仿宋" w:cs="Arial"/>
          <w:sz w:val="32"/>
          <w:szCs w:val="32"/>
        </w:rPr>
        <w:t xml:space="preserve">  公证处</w:t>
      </w:r>
    </w:p>
    <w:p>
      <w:pPr>
        <w:tabs>
          <w:tab w:val="left" w:pos="1156"/>
        </w:tabs>
        <w:ind w:left="0" w:firstLineChars="200" w:firstLine="640"/>
        <w:rPr>
          <w:rFonts w:ascii="仿宋" w:eastAsia="仿宋"/>
          <w:sz w:val="32"/>
          <w:szCs w:val="32"/>
          <w:lang w:val="en-US" w:eastAsia="zh-CN"/>
        </w:rPr>
      </w:pPr>
      <w:r>
        <w:rPr>
          <w:rFonts w:ascii="仿宋" w:eastAsia="仿宋" w:hint="eastAsia"/>
          <w:sz w:val="32"/>
          <w:szCs w:val="32"/>
          <w:lang w:val="en-US" w:eastAsia="zh-CN"/>
        </w:rPr>
        <w:t>抽查比例：比例</w:t>
      </w:r>
      <w:r>
        <w:rPr>
          <w:rFonts w:ascii="仿宋" w:eastAsia="仿宋"/>
          <w:sz w:val="32"/>
          <w:szCs w:val="32"/>
          <w:lang w:val="en-US" w:eastAsia="zh-CN"/>
        </w:rPr>
        <w:t>10</w:t>
      </w:r>
      <w:r>
        <w:rPr>
          <w:rFonts w:ascii="仿宋" w:eastAsia="仿宋" w:hint="eastAsia"/>
          <w:sz w:val="32"/>
          <w:szCs w:val="32"/>
          <w:lang w:val="en-US" w:eastAsia="zh-CN"/>
        </w:rPr>
        <w:t>0 %。</w:t>
      </w:r>
    </w:p>
    <w:p>
      <w:pPr>
        <w:tabs>
          <w:tab w:val="left" w:pos="1156"/>
        </w:tabs>
        <w:ind w:left="0" w:firstLineChars="200" w:firstLine="640"/>
        <w:rPr>
          <w:rFonts w:ascii="仿宋" w:eastAsia="仿宋" w:cs="仿宋" w:hint="eastAsia"/>
          <w:sz w:val="32"/>
          <w:szCs w:val="32"/>
          <w:lang w:val="en-US" w:eastAsia="zh-CN"/>
        </w:rPr>
      </w:pPr>
      <w:r>
        <w:rPr>
          <w:rFonts w:ascii="黑体" w:eastAsia="黑体"/>
          <w:sz w:val="32"/>
          <w:szCs w:val="32"/>
        </w:rPr>
        <w:t>三、抽查</w:t>
      </w:r>
      <w:r>
        <w:rPr>
          <w:rFonts w:ascii="黑体" w:eastAsia="黑体" w:hint="eastAsia"/>
          <w:sz w:val="32"/>
          <w:szCs w:val="32"/>
        </w:rPr>
        <w:t>部门</w:t>
      </w:r>
      <w:r>
        <w:rPr>
          <w:rFonts w:ascii="黑体" w:eastAsia="黑体"/>
          <w:sz w:val="32"/>
          <w:szCs w:val="32"/>
        </w:rPr>
        <w:t>及内容</w:t>
      </w:r>
    </w:p>
    <w:p>
      <w:pPr>
        <w:tabs>
          <w:tab w:val="left" w:pos="1156"/>
        </w:tabs>
        <w:ind w:left="0" w:firstLineChars="200" w:firstLine="640"/>
        <w:rPr>
          <w:rFonts w:ascii="仿宋" w:eastAsia="仿宋" w:cs="仿宋" w:hint="eastAsia"/>
          <w:sz w:val="32"/>
          <w:szCs w:val="32"/>
          <w:lang w:val="en-US" w:eastAsia="zh-CN"/>
        </w:rPr>
      </w:pPr>
      <w:r>
        <w:rPr>
          <w:rFonts w:ascii="仿宋" w:eastAsia="仿宋" w:cs="仿宋" w:hint="eastAsia"/>
          <w:sz w:val="32"/>
          <w:szCs w:val="32"/>
          <w:lang w:val="en-US" w:eastAsia="zh-CN"/>
        </w:rPr>
        <w:t>（一）法律服务管理股：</w:t>
      </w:r>
    </w:p>
    <w:p>
      <w:pPr>
        <w:tabs>
          <w:tab w:val="left" w:pos="1156"/>
        </w:tabs>
        <w:ind w:firstLineChars="250" w:firstLine="800"/>
        <w:rPr>
          <w:rFonts w:ascii="仿宋" w:eastAsia="仿宋" w:cs="仿宋" w:hint="eastAsia"/>
          <w:sz w:val="32"/>
          <w:szCs w:val="32"/>
        </w:rPr>
      </w:pPr>
      <w:r>
        <w:rPr>
          <w:rFonts w:ascii="仿宋" w:eastAsia="仿宋" w:cs="仿宋" w:hint="eastAsia"/>
          <w:sz w:val="32"/>
          <w:szCs w:val="32"/>
          <w:lang w:val="en-US" w:eastAsia="zh-CN"/>
        </w:rPr>
        <w:t>对律师事务所的监督检查；</w:t>
      </w:r>
      <w:r>
        <w:rPr>
          <w:rFonts w:ascii="仿宋" w:eastAsia="仿宋" w:cs="仿宋"/>
          <w:sz w:val="32"/>
          <w:szCs w:val="32"/>
        </w:rPr>
        <w:t>对</w:t>
      </w:r>
      <w:r>
        <w:rPr>
          <w:rFonts w:ascii="仿宋" w:eastAsia="仿宋" w:cs="仿宋" w:hint="eastAsia"/>
          <w:sz w:val="32"/>
          <w:szCs w:val="32"/>
        </w:rPr>
        <w:t>司法鉴定机构及其鉴定人的监督检查</w:t>
      </w:r>
      <w:r>
        <w:rPr>
          <w:rFonts w:ascii="仿宋" w:eastAsia="仿宋" w:cs="仿宋" w:hint="eastAsia"/>
          <w:sz w:val="32"/>
          <w:szCs w:val="32"/>
          <w:lang w:val="en-US" w:eastAsia="zh-CN"/>
        </w:rPr>
        <w:t>；</w:t>
      </w:r>
      <w:r>
        <w:rPr>
          <w:rFonts w:ascii="仿宋" w:eastAsia="仿宋" w:cs="仿宋"/>
          <w:sz w:val="32"/>
          <w:szCs w:val="32"/>
        </w:rPr>
        <w:t>对公证机构和公证员进行</w:t>
      </w:r>
      <w:r>
        <w:rPr>
          <w:rFonts w:ascii="仿宋" w:eastAsia="仿宋" w:cs="仿宋" w:hint="eastAsia"/>
          <w:sz w:val="32"/>
          <w:szCs w:val="32"/>
          <w:lang w:val="en-US" w:eastAsia="zh-CN"/>
        </w:rPr>
        <w:t>监督检查</w:t>
      </w:r>
      <w:r>
        <w:rPr>
          <w:rFonts w:ascii="仿宋" w:eastAsia="仿宋" w:cs="仿宋"/>
          <w:sz w:val="32"/>
          <w:szCs w:val="32"/>
        </w:rPr>
        <w:t>。</w:t>
      </w:r>
      <w:bookmarkStart w:id="0" w:name="_GoBack"/>
      <w:bookmarkEnd w:id="0"/>
    </w:p>
    <w:p>
      <w:pPr>
        <w:numPr>
          <w:ilvl w:val="0"/>
          <w:numId w:val="1"/>
        </w:numPr>
        <w:ind w:left="635"/>
        <w:rPr>
          <w:rFonts w:ascii="仿宋" w:eastAsia="仿宋" w:hint="eastAsia"/>
          <w:sz w:val="32"/>
          <w:szCs w:val="32"/>
          <w:lang w:val="en-US" w:eastAsia="zh-CN"/>
        </w:rPr>
      </w:pPr>
      <w:r>
        <w:rPr>
          <w:rFonts w:ascii="仿宋" w:eastAsia="仿宋" w:hint="eastAsia"/>
          <w:sz w:val="32"/>
          <w:szCs w:val="32"/>
          <w:lang w:val="en-US" w:eastAsia="zh-CN"/>
        </w:rPr>
        <w:t>公共法律服务中心：</w:t>
      </w:r>
    </w:p>
    <w:p>
      <w:pPr>
        <w:ind w:leftChars="200" w:left="420" w:firstLineChars="100" w:firstLine="320"/>
        <w:rPr>
          <w:rFonts w:ascii="仿宋" w:eastAsia="仿宋" w:hint="eastAsia"/>
          <w:sz w:val="32"/>
          <w:szCs w:val="32"/>
          <w:lang w:eastAsia="zh-CN"/>
        </w:rPr>
      </w:pPr>
      <w:r>
        <w:rPr>
          <w:rFonts w:ascii="仿宋" w:eastAsia="仿宋" w:hint="eastAsia"/>
          <w:sz w:val="32"/>
          <w:szCs w:val="32"/>
          <w:lang w:eastAsia="zh-CN"/>
        </w:rPr>
        <w:t>对律师事务所及其律师承办法律援助事项的监督检查。</w:t>
      </w:r>
    </w:p>
    <w:p>
      <w:pPr>
        <w:ind w:leftChars="200" w:left="420"/>
        <w:rPr>
          <w:rFonts w:ascii="黑体" w:eastAsia="黑体"/>
          <w:sz w:val="32"/>
          <w:szCs w:val="32"/>
        </w:rPr>
      </w:pPr>
      <w:r>
        <w:rPr>
          <w:rFonts w:ascii="仿宋" w:eastAsia="仿宋" w:cs="仿宋" w:hint="eastAsia"/>
          <w:sz w:val="32"/>
          <w:szCs w:val="32"/>
          <w:lang w:val="en-US" w:eastAsia="zh-CN"/>
        </w:rPr>
        <w:t xml:space="preserve">  </w:t>
      </w:r>
      <w:r>
        <w:rPr>
          <w:rFonts w:ascii="黑体" w:eastAsia="黑体"/>
          <w:sz w:val="32"/>
          <w:szCs w:val="32"/>
        </w:rPr>
        <w:t xml:space="preserve">四、抽查步骤 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（一）我局通过“河北省双随机监管工作平台”抽取检查对象名单，按照监管机关将检查对象分派至各</w:t>
      </w:r>
      <w:r>
        <w:rPr>
          <w:rFonts w:ascii="仿宋" w:eastAsia="仿宋" w:hint="eastAsia"/>
          <w:sz w:val="32"/>
          <w:szCs w:val="32"/>
        </w:rPr>
        <w:t>股室</w:t>
      </w:r>
      <w:r>
        <w:rPr>
          <w:rFonts w:ascii="仿宋" w:eastAsia="仿宋"/>
          <w:sz w:val="32"/>
          <w:szCs w:val="32"/>
        </w:rPr>
        <w:t>监管部门</w:t>
      </w:r>
      <w:r>
        <w:rPr>
          <w:rFonts w:ascii="仿宋" w:eastAsia="仿宋" w:hint="eastAsia"/>
          <w:sz w:val="32"/>
          <w:szCs w:val="32"/>
        </w:rPr>
        <w:t>，</w:t>
      </w:r>
      <w:r>
        <w:rPr>
          <w:rFonts w:ascii="仿宋" w:eastAsia="仿宋"/>
          <w:sz w:val="32"/>
          <w:szCs w:val="32"/>
        </w:rPr>
        <w:t>并实施抽查检查。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（二）</w:t>
      </w:r>
      <w:r>
        <w:rPr>
          <w:rFonts w:ascii="仿宋" w:eastAsia="仿宋" w:hint="eastAsia"/>
          <w:sz w:val="32"/>
          <w:szCs w:val="32"/>
        </w:rPr>
        <w:t>各股室</w:t>
      </w:r>
      <w:r>
        <w:rPr>
          <w:rFonts w:ascii="仿宋" w:eastAsia="仿宋"/>
          <w:sz w:val="32"/>
          <w:szCs w:val="32"/>
        </w:rPr>
        <w:t>应按照规定的检查事项，对检查对象所涉及的本次抽查确定的事项，实施全覆盖检查。实施检查前</w:t>
      </w:r>
      <w:r>
        <w:rPr>
          <w:rFonts w:ascii="仿宋" w:eastAsia="仿宋" w:hint="eastAsia"/>
          <w:sz w:val="32"/>
          <w:szCs w:val="32"/>
        </w:rPr>
        <w:t>，</w:t>
      </w:r>
      <w:r>
        <w:rPr>
          <w:rFonts w:ascii="仿宋" w:eastAsia="仿宋"/>
          <w:sz w:val="32"/>
          <w:szCs w:val="32"/>
        </w:rPr>
        <w:t>相关业务部门应依据职责分工、检查对象所涉及的经营范围等</w:t>
      </w:r>
      <w:r>
        <w:rPr>
          <w:rFonts w:ascii="仿宋" w:eastAsia="仿宋" w:hint="eastAsia"/>
          <w:sz w:val="32"/>
          <w:szCs w:val="32"/>
        </w:rPr>
        <w:t>，</w:t>
      </w:r>
      <w:r>
        <w:rPr>
          <w:rFonts w:ascii="仿宋" w:eastAsia="仿宋"/>
          <w:sz w:val="32"/>
          <w:szCs w:val="32"/>
        </w:rPr>
        <w:t>初步确定对各抽查对象所涉及的检查事项及内容</w:t>
      </w:r>
      <w:r>
        <w:rPr>
          <w:rFonts w:ascii="仿宋" w:eastAsia="仿宋" w:hint="eastAsia"/>
          <w:sz w:val="32"/>
          <w:szCs w:val="32"/>
        </w:rPr>
        <w:t>，</w:t>
      </w:r>
      <w:r>
        <w:rPr>
          <w:rFonts w:ascii="仿宋" w:eastAsia="仿宋"/>
          <w:sz w:val="32"/>
          <w:szCs w:val="32"/>
        </w:rPr>
        <w:t xml:space="preserve">对确定的检查事项及内容，应当一次性完成检查。 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（三）参与抽查</w:t>
      </w:r>
      <w:r>
        <w:rPr>
          <w:rFonts w:ascii="仿宋" w:eastAsia="仿宋" w:hint="eastAsia"/>
          <w:sz w:val="32"/>
          <w:szCs w:val="32"/>
        </w:rPr>
        <w:t>股室</w:t>
      </w:r>
      <w:r>
        <w:rPr>
          <w:rFonts w:ascii="仿宋" w:eastAsia="仿宋"/>
          <w:sz w:val="32"/>
          <w:szCs w:val="32"/>
        </w:rPr>
        <w:t xml:space="preserve">应依据职责分工，做好现场抽查前期准备，做到有针对性的检查，提升监管的靶向性和实效性。 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（四）参与抽查</w:t>
      </w:r>
      <w:r>
        <w:rPr>
          <w:rFonts w:ascii="仿宋" w:eastAsia="仿宋" w:hint="eastAsia"/>
          <w:sz w:val="32"/>
          <w:szCs w:val="32"/>
        </w:rPr>
        <w:t>股室</w:t>
      </w:r>
      <w:r>
        <w:rPr>
          <w:rFonts w:ascii="仿宋" w:eastAsia="仿宋"/>
          <w:sz w:val="32"/>
          <w:szCs w:val="32"/>
        </w:rPr>
        <w:t xml:space="preserve">通过“河北省双随机监管工作平台”随机匹配检查人员，生成针对每个检查对象的随机抽查检查记录表，结合前期梳理情况，实施一次性全面现场检查。 </w:t>
      </w:r>
      <w:r>
        <w:rPr>
          <w:rFonts w:ascii="仿宋" w:eastAsia="仿宋" w:hint="eastAsia"/>
          <w:sz w:val="32"/>
          <w:szCs w:val="32"/>
        </w:rPr>
        <w:t xml:space="preserve">      </w:t>
      </w:r>
    </w:p>
    <w:p>
      <w:pPr>
        <w:ind w:firstLineChars="200" w:firstLine="640"/>
        <w:rPr>
          <w:rFonts w:ascii="黑体" w:eastAsia="黑体"/>
          <w:sz w:val="32"/>
          <w:szCs w:val="32"/>
        </w:rPr>
      </w:pPr>
    </w:p>
    <w:p>
      <w:pPr>
        <w:ind w:firstLineChars="200" w:firstLine="640"/>
        <w:rPr>
          <w:rFonts w:ascii="黑体" w:eastAsia="黑体"/>
          <w:sz w:val="32"/>
          <w:szCs w:val="32"/>
        </w:rPr>
      </w:pPr>
      <w:r>
        <w:rPr>
          <w:rFonts w:ascii="黑体" w:eastAsia="黑体"/>
          <w:sz w:val="32"/>
          <w:szCs w:val="32"/>
        </w:rPr>
        <w:t xml:space="preserve">五、抽查结果公示及后续处理 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（一）按照“谁检查、谁录入、谁公开”的原则，自抽查检查结束之日起 20 个工作日内，录入抽查结果，并依法通过国家企业信用信息公示系统（河北）向社会公示抽查结果。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（二）按照“谁审批、谁监管，谁主管、谁监管”的原则</w:t>
      </w:r>
      <w:r>
        <w:rPr>
          <w:rFonts w:ascii="仿宋" w:eastAsia="仿宋" w:hint="eastAsia"/>
          <w:sz w:val="32"/>
          <w:szCs w:val="32"/>
        </w:rPr>
        <w:t>,</w:t>
      </w:r>
      <w:r>
        <w:rPr>
          <w:rFonts w:ascii="仿宋" w:eastAsia="仿宋"/>
          <w:sz w:val="32"/>
          <w:szCs w:val="32"/>
        </w:rPr>
        <w:t>根据职责和管辖权限，依法做好“双随机</w:t>
      </w:r>
      <w:r>
        <w:rPr>
          <w:rFonts w:ascii="仿宋" w:eastAsia="仿宋" w:hint="eastAsia"/>
          <w:sz w:val="32"/>
          <w:szCs w:val="32"/>
        </w:rPr>
        <w:t>、</w:t>
      </w:r>
      <w:r>
        <w:rPr>
          <w:rFonts w:ascii="仿宋" w:eastAsia="仿宋"/>
          <w:sz w:val="32"/>
          <w:szCs w:val="32"/>
        </w:rPr>
        <w:t>一公开”抽查结果后续处理。</w:t>
      </w:r>
    </w:p>
    <w:p>
      <w:pPr>
        <w:ind w:firstLineChars="200" w:firstLine="640"/>
        <w:rPr>
          <w:rFonts w:ascii="黑体" w:eastAsia="黑体"/>
          <w:sz w:val="32"/>
          <w:szCs w:val="32"/>
        </w:rPr>
      </w:pPr>
      <w:r>
        <w:rPr>
          <w:rFonts w:ascii="黑体" w:eastAsia="黑体"/>
          <w:sz w:val="32"/>
          <w:szCs w:val="32"/>
        </w:rPr>
        <w:t xml:space="preserve">六、工作要求 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（一）加强组织领导。各</w:t>
      </w:r>
      <w:r>
        <w:rPr>
          <w:rFonts w:ascii="仿宋" w:eastAsia="仿宋" w:hint="eastAsia"/>
          <w:sz w:val="32"/>
          <w:szCs w:val="32"/>
        </w:rPr>
        <w:t>股室</w:t>
      </w:r>
      <w:r>
        <w:rPr>
          <w:rFonts w:ascii="仿宋" w:eastAsia="仿宋"/>
          <w:sz w:val="32"/>
          <w:szCs w:val="32"/>
        </w:rPr>
        <w:t>要高度重视，精心组织，周密部署，严格按照</w:t>
      </w:r>
      <w:r>
        <w:rPr>
          <w:rFonts w:ascii="仿宋" w:eastAsia="仿宋" w:hint="eastAsia"/>
          <w:sz w:val="32"/>
          <w:szCs w:val="32"/>
          <w:lang w:val="en-US" w:eastAsia="zh-CN"/>
        </w:rPr>
        <w:t>方案和法规</w:t>
      </w:r>
      <w:r>
        <w:rPr>
          <w:rFonts w:ascii="仿宋" w:eastAsia="仿宋"/>
          <w:sz w:val="32"/>
          <w:szCs w:val="32"/>
        </w:rPr>
        <w:t>要求</w:t>
      </w:r>
      <w:r>
        <w:rPr>
          <w:rFonts w:ascii="仿宋" w:eastAsia="仿宋" w:hint="eastAsia"/>
          <w:sz w:val="32"/>
          <w:szCs w:val="32"/>
        </w:rPr>
        <w:t>，</w:t>
      </w:r>
      <w:r>
        <w:rPr>
          <w:rFonts w:ascii="仿宋" w:eastAsia="仿宋"/>
          <w:sz w:val="32"/>
          <w:szCs w:val="32"/>
        </w:rPr>
        <w:t xml:space="preserve">认真细化工作要求和流程，一级抓一级，层层抓落实，定人、定岗、定职责、定时限，一次性完成对抽查对象的全面检查，坚决杜绝拖延检查时间、重复多次检查等现象，确保此次联合抽查工作依法、有序开展。 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（二）加强协调配合。</w:t>
      </w:r>
      <w:r>
        <w:rPr>
          <w:rFonts w:ascii="仿宋" w:eastAsia="仿宋" w:hint="eastAsia"/>
          <w:sz w:val="32"/>
          <w:szCs w:val="32"/>
          <w:lang w:val="en-US" w:eastAsia="zh-CN"/>
        </w:rPr>
        <w:t>法律服务管理股</w:t>
      </w:r>
      <w:r>
        <w:rPr>
          <w:rFonts w:ascii="仿宋" w:eastAsia="仿宋"/>
          <w:sz w:val="32"/>
          <w:szCs w:val="32"/>
        </w:rPr>
        <w:t xml:space="preserve">要认真制定本辖区内部联合“双随机”抽查工作方案，组织协调好查前准备、认领抽查对象名单、现场检查工作，督导辖区抽查进度、汇总上报等工作。 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（三）加强工作反馈。各抽查</w:t>
      </w:r>
      <w:r>
        <w:rPr>
          <w:rFonts w:ascii="仿宋" w:eastAsia="仿宋" w:hint="eastAsia"/>
          <w:sz w:val="32"/>
          <w:szCs w:val="32"/>
        </w:rPr>
        <w:t>股室</w:t>
      </w:r>
      <w:r>
        <w:rPr>
          <w:rFonts w:ascii="仿宋" w:eastAsia="仿宋"/>
          <w:sz w:val="32"/>
          <w:szCs w:val="32"/>
        </w:rPr>
        <w:t>要积极发现联合抽查工作中的疑点、难点和堵点问题，总结经验做法和亮点，为今后全面推行联合抽查工作提供可借鉴、可推广的措施和方法。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</w:p>
    <w:p>
      <w:pPr>
        <w:ind w:left="0" w:firstLineChars="1650" w:firstLine="5280"/>
        <w:rPr>
          <w:rFonts w:ascii="仿宋" w:eastAsia="仿宋" w:hint="eastAsia"/>
          <w:sz w:val="32"/>
          <w:szCs w:val="32"/>
          <w:lang w:val="en-US" w:eastAsia="zh-CN"/>
        </w:rPr>
      </w:pPr>
      <w:r>
        <w:rPr>
          <w:rFonts w:ascii="仿宋" w:eastAsia="仿宋"/>
          <w:sz w:val="32"/>
          <w:szCs w:val="32"/>
        </w:rPr>
        <w:t>联</w:t>
      </w:r>
      <w:r>
        <w:rPr>
          <w:rFonts w:ascii="仿宋" w:eastAsia="仿宋" w:hint="eastAsia"/>
          <w:sz w:val="32"/>
          <w:szCs w:val="32"/>
          <w:lang w:val="en-US" w:eastAsia="zh-CN"/>
        </w:rPr>
        <w:t xml:space="preserve"> </w:t>
      </w:r>
      <w:r>
        <w:rPr>
          <w:rFonts w:ascii="仿宋" w:eastAsia="仿宋"/>
          <w:sz w:val="32"/>
          <w:szCs w:val="32"/>
        </w:rPr>
        <w:t>系</w:t>
      </w:r>
      <w:r>
        <w:rPr>
          <w:rFonts w:ascii="仿宋" w:eastAsia="仿宋" w:hint="eastAsia"/>
          <w:sz w:val="32"/>
          <w:szCs w:val="32"/>
          <w:lang w:val="en-US" w:eastAsia="zh-CN"/>
        </w:rPr>
        <w:t xml:space="preserve"> </w:t>
      </w:r>
      <w:r>
        <w:rPr>
          <w:rFonts w:ascii="仿宋" w:eastAsia="仿宋"/>
          <w:sz w:val="32"/>
          <w:szCs w:val="32"/>
        </w:rPr>
        <w:t>人：</w:t>
      </w:r>
      <w:r>
        <w:rPr>
          <w:rFonts w:ascii="仿宋" w:eastAsia="仿宋" w:hint="eastAsia"/>
          <w:sz w:val="32"/>
          <w:szCs w:val="32"/>
          <w:lang w:val="en-US" w:eastAsia="zh-CN"/>
        </w:rPr>
        <w:t>魏自豪</w:t>
      </w:r>
    </w:p>
    <w:p>
      <w:pPr>
        <w:ind w:left="0" w:firstLineChars="1650" w:firstLine="5280"/>
        <w:rPr>
          <w:rFonts w:ascii="仿宋" w:eastAsia="仿宋" w:cs="仿宋" w:hint="eastAsia"/>
          <w:b/>
          <w:bCs/>
          <w:sz w:val="32"/>
          <w:szCs w:val="32"/>
          <w:lang w:val="en-US" w:eastAsia="zh-CN"/>
        </w:rPr>
      </w:pPr>
      <w:r>
        <w:rPr>
          <w:rFonts w:ascii="仿宋" w:eastAsia="仿宋"/>
          <w:sz w:val="32"/>
          <w:szCs w:val="32"/>
        </w:rPr>
        <w:t>联系电话：</w:t>
      </w:r>
      <w:r>
        <w:rPr>
          <w:rFonts w:ascii="仿宋" w:eastAsia="仿宋" w:hint="eastAsia"/>
          <w:sz w:val="32"/>
          <w:szCs w:val="32"/>
          <w:lang w:val="en-US" w:eastAsia="zh-CN"/>
        </w:rPr>
        <w:t xml:space="preserve"> </w:t>
      </w:r>
      <w:r>
        <w:rPr>
          <w:rFonts w:ascii="仿宋" w:eastAsia="仿宋"/>
          <w:sz w:val="32"/>
          <w:szCs w:val="32"/>
          <w:lang w:val="en-US" w:eastAsia="zh-CN"/>
        </w:rPr>
        <w:t>7325750</w:t>
      </w:r>
      <w:r>
        <w:rPr>
          <w:rFonts w:ascii="仿宋" w:eastAsia="仿宋" w:hint="eastAsia"/>
          <w:sz w:val="32"/>
          <w:szCs w:val="32"/>
          <w:lang w:val="en-US" w:eastAsia="zh-CN"/>
        </w:rPr>
        <w:t xml:space="preserve">              </w:t>
      </w: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仿宋">
    <w:panose1 w:val="02010609060101010101"/>
    <w:charset w:val="86"/>
    <w:family w:val="modern"/>
    <w:pitch w:val="variable"/>
    <w:sig w:usb0="800002BF" w:usb1="38CF7CFA" w:usb2="00000016" w:usb3="00000000" w:csb0="00040001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variable"/>
    <w:sig w:usb0="00007A87" w:usb1="80000000" w:usb2="00000008" w:usb3="00000000" w:csb0="400001FF" w:csb1="FFFF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mc="http://schemas.openxmlformats.org/markup-compatibility/2006" xmlns:w14="http://schemas.microsoft.com/office/word/2010/wordml">
  <w:abstractNum w:abstractNumId="0">
    <w:nsid w:val="2BBCB423"/>
    <w:multiLevelType w:val="singleLevel"/>
    <w:tmpl w:val="2BBCB423"/>
    <w:lvl w:ilvl="0">
      <w:start w:val="2"/>
      <w:numFmt w:val="chineseCounting"/>
      <w:lvlRestart w:val="0"/>
      <w:suff w:val="nothing"/>
      <w:lvlText w:val="（%1）"/>
      <w:lvlJc w:val="left"/>
      <w:pPr>
        <w:ind w:left="0" w:hanging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70"/>
  <w:bordersDoNotSurroundHeader/>
  <w:bordersDoNotSurroundFooter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  <w:docVars>
    <w:docVar w:name="commondata" w:val="eyJoZGlkIjoiYzhiYjFlYjk4NTkwYTVhMDBmMDU3YWZhOGFjMDc0M2IifQ=="/>
  </w:docVar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Arial"/>
        <w:lang w:val="en-US" w:eastAsia="zh-CN" w:bidi="ar-SA"/>
      </w:rPr>
    </w:rPrDefault>
    <w:pPrDefault/>
  </w:docDefaults>
  <w:style w:type="paragraph" w:default="1" w:styleId="0">
    <w:name w:val="Normal"/>
    <w:qFormat/>
    <w:pPr>
      <w:widowControl w:val="0"/>
      <w:jc w:val="both"/>
    </w:pPr>
    <w:rPr>
      <w:rFonts w:ascii="Calibri" w:eastAsia="宋体" w:cs="Times New Roman" w:hAnsi="Calibri"/>
      <w:kern w:val="2"/>
      <w:sz w:val="21"/>
      <w:szCs w:val="24"/>
      <w:lang w:val="en-US" w:eastAsia="zh-CN" w:bidi="ar-SA"/>
    </w:rPr>
  </w:style>
  <w:style w:type="paragraph" w:styleId="1">
    <w:name w:val="heading 1"/>
    <w:qFormat/>
    <w:basedOn w:val="0"/>
    <w:next w:val="0"/>
    <w:link w:val="1Char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customStyle="1" w:styleId="1Char">
    <w:name w:val="heading 1 Char"/>
    <w:basedOn w:val="10"/>
    <w:link w:val="1"/>
    <w:rPr>
      <w:rFonts w:ascii="Calibri" w:eastAsia="宋体" w:cs="Times New Roman" w:hAnsi="Calibri"/>
      <w:b/>
      <w:bCs/>
      <w:kern w:val="44"/>
      <w:sz w:val="44"/>
      <w:szCs w:val="44"/>
      <w:lang w:val="en-US" w:eastAsia="zh-CN" w:bidi="ar-SA"/>
    </w:rPr>
  </w:style>
  <w:style w:type="paragraph" w:styleId="2">
    <w:name w:val="heading 2"/>
    <w:qFormat/>
    <w:basedOn w:val="0"/>
    <w:next w:val="0"/>
    <w:link w:val="2Char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character" w:customStyle="1" w:styleId="2Char">
    <w:name w:val="heading 2 Char"/>
    <w:basedOn w:val="10"/>
    <w:link w:val="2"/>
    <w:rPr>
      <w:rFonts w:ascii="Times New Roman" w:eastAsia="黑体" w:cs="Times New Roman" w:hAnsi="Times New Roman"/>
      <w:b/>
      <w:bCs/>
      <w:kern w:val="2"/>
      <w:sz w:val="32"/>
      <w:szCs w:val="32"/>
      <w:lang w:val="en-US" w:eastAsia="zh-CN" w:bidi="ar-SA"/>
    </w:rPr>
  </w:style>
  <w:style w:type="paragraph" w:styleId="3">
    <w:name w:val="heading 3"/>
    <w:qFormat/>
    <w:basedOn w:val="0"/>
    <w:next w:val="0"/>
    <w:link w:val="3Char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customStyle="1" w:styleId="3Char">
    <w:name w:val="heading 3 Char"/>
    <w:basedOn w:val="10"/>
    <w:link w:val="3"/>
    <w:rPr>
      <w:rFonts w:ascii="Calibri" w:eastAsia="宋体" w:cs="Times New Roman" w:hAnsi="Calibri"/>
      <w:b/>
      <w:bCs/>
      <w:kern w:val="2"/>
      <w:sz w:val="32"/>
      <w:szCs w:val="32"/>
      <w:lang w:val="en-US" w:eastAsia="zh-CN" w:bidi="ar-SA"/>
    </w:rPr>
  </w:style>
  <w:style w:type="character" w:default="1" w:styleId="10">
    <w:name w:val="Default Paragraph Font"/>
    <w:qFormat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customXml" Target="../customXml/item1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"/>
        <a:ea typeface=""/>
        <a:cs typeface=""/>
      </a:majorFont>
      <a:minorFont>
        <a:latin typeface="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1"/>
        </a:gradFill>
      </a:fillStyleLst>
      <a:lnStyleLst>
        <a:ln w="6350" cmpd="sng" cap="flat">
          <a:solidFill>
            <a:schemeClr val="phClr"/>
          </a:solidFill>
          <a:prstDash val="solid"/>
          <a:miter/>
        </a:ln>
        <a:ln w="12700" cmpd="sng" cap="flat">
          <a:solidFill>
            <a:schemeClr val="phClr"/>
          </a:solidFill>
          <a:prstDash val="solid"/>
          <a:miter/>
        </a:ln>
        <a:ln w="19050" cmpd="sng" cap="flat">
          <a:solidFill>
            <a:schemeClr val="phClr"/>
          </a:solidFill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algn="b" rotWithShape="0" blurRad="57150" dist="19050" dir="5400000">
              <a:srgbClr val="000000">
                <a:alpha val="62745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1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3678 0 1 1 1 1"/>
    <sectPr/>
  </customProps>
</customData>
</file>

<file path=customXml/itemProps1.xml><?xml version="1.0" encoding="utf-8"?>
<ds:datastoreItem xmlns:ds="http://schemas.openxmlformats.org/officeDocument/2006/customXml" ds:itemID="{07CCE307-A3DA-4707-BC60-DFBBC49C434D}">
  <ds:schemaRefs>
    <ds:schemaRef ds:uri="http://www.yozosoft.com.cn/officeDocument/2016/customData"/>
  </ds:schemaRefs>
</ds:datastoreItem>
</file>

<file path=docProps/app.xml><?xml version="1.0" encoding="utf-8"?>
<Properties xmlns="http://schemas.openxmlformats.org/officeDocument/2006/extended-properties">
  <Template>Normal.eit</Template>
  <TotalTime>8650</TotalTime>
  <Application>Yozo_Office9.0.5847.101ZH.SP1.S1</Application>
  <Pages>3</Pages>
  <Words>0</Words>
  <Characters>903</Characters>
  <Lines>0</Lines>
  <Paragraphs>36</Paragraphs>
  <CharactersWithSpaces>1204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Administrator</dc:creator>
  <cp:lastModifiedBy>333</cp:lastModifiedBy>
  <cp:revision>3</cp:revision>
  <cp:lastPrinted>2022-08-11T01:23:01Z</cp:lastPrinted>
  <dcterms:created xsi:type="dcterms:W3CDTF">2021-06-08T01:06:00Z</dcterms:created>
  <dcterms:modified xsi:type="dcterms:W3CDTF">2025-03-26T02:07:53Z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2052-11.1.0.11744</vt:lpwstr>
  </property>
  <property fmtid="{D5CDD505-2E9C-101B-9397-08002B2CF9AE}" pid="3" name="ICV">
    <vt:lpwstr>0C2E1AF0E93B42E3A619B83DE8C21BAF</vt:lpwstr>
  </property>
</Properties>
</file>