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b/>
          <w:bCs/>
          <w:sz w:val="44"/>
          <w:szCs w:val="44"/>
        </w:rPr>
      </w:pPr>
      <w:r>
        <w:rPr>
          <w:rFonts w:hint="eastAsia" w:ascii="方正小标宋简体" w:hAnsi="方正小标宋简体" w:eastAsia="方正小标宋简体" w:cs="方正小标宋简体"/>
          <w:b w:val="0"/>
          <w:bCs w:val="0"/>
          <w:sz w:val="44"/>
          <w:szCs w:val="44"/>
        </w:rPr>
        <w:t>行政处罚办事指南</w:t>
      </w:r>
    </w:p>
    <w:p>
      <w:pPr>
        <w:keepNext w:val="0"/>
        <w:keepLines w:val="0"/>
        <w:pageBreakBefore w:val="0"/>
        <w:widowControl w:val="0"/>
        <w:kinsoku/>
        <w:wordWrap/>
        <w:overflowPunct/>
        <w:topLinePunct w:val="0"/>
        <w:autoSpaceDE/>
        <w:autoSpaceDN/>
        <w:bidi w:val="0"/>
        <w:adjustRightInd/>
        <w:snapToGrid/>
        <w:spacing w:line="580" w:lineRule="exact"/>
        <w:jc w:val="left"/>
        <w:textAlignment w:val="auto"/>
        <w:rPr>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一、承办机构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eastAsia="zh-CN"/>
        </w:rPr>
      </w:pPr>
      <w:r>
        <w:rPr>
          <w:rFonts w:hint="eastAsia" w:ascii="仿宋_GB2312" w:hAnsi="仿宋" w:eastAsia="仿宋_GB2312"/>
          <w:sz w:val="32"/>
          <w:szCs w:val="32"/>
          <w:lang w:eastAsia="zh-CN"/>
        </w:rPr>
        <w:t>涞源县农业农村局综合行政执法</w:t>
      </w:r>
      <w:r>
        <w:rPr>
          <w:rFonts w:hint="eastAsia" w:ascii="仿宋_GB2312" w:hAnsi="仿宋" w:eastAsia="仿宋_GB2312"/>
          <w:sz w:val="32"/>
          <w:szCs w:val="32"/>
        </w:rPr>
        <w:t>支队</w:t>
      </w:r>
      <w:r>
        <w:rPr>
          <w:rFonts w:hint="eastAsia" w:ascii="仿宋_GB2312" w:hAnsi="仿宋" w:eastAsia="仿宋_GB2312"/>
          <w:sz w:val="32"/>
          <w:szCs w:val="32"/>
          <w:lang w:eastAsia="zh-CN"/>
        </w:rPr>
        <w:t>（县动物卫生监督所）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二、实施对象</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eastAsia="zh-CN"/>
        </w:rPr>
      </w:pPr>
      <w:r>
        <w:rPr>
          <w:rFonts w:hint="eastAsia" w:ascii="仿宋_GB2312" w:hAnsi="仿宋" w:eastAsia="仿宋_GB2312"/>
          <w:sz w:val="32"/>
          <w:szCs w:val="32"/>
        </w:rPr>
        <w:t>市本级管辖范围内的</w:t>
      </w:r>
      <w:r>
        <w:rPr>
          <w:rFonts w:hint="eastAsia" w:ascii="仿宋_GB2312" w:hAnsi="仿宋" w:eastAsia="仿宋_GB2312"/>
          <w:sz w:val="32"/>
          <w:szCs w:val="32"/>
          <w:lang w:eastAsia="zh-CN"/>
        </w:rPr>
        <w:t>法人、社会组织、个人</w:t>
      </w:r>
    </w:p>
    <w:p>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办理时限</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 xml:space="preserve">    </w:t>
      </w:r>
      <w:r>
        <w:rPr>
          <w:rFonts w:hint="eastAsia" w:ascii="仿宋_GB2312" w:hAnsi="仿宋" w:eastAsia="仿宋_GB2312"/>
          <w:sz w:val="32"/>
          <w:szCs w:val="32"/>
          <w:lang w:val="en-US" w:eastAsia="zh-CN"/>
        </w:rPr>
        <w:t>法定时限</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四、收费标准及依据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ascii="仿宋_GB2312" w:hAnsi="仿宋" w:eastAsia="仿宋_GB2312"/>
          <w:sz w:val="32"/>
          <w:szCs w:val="32"/>
        </w:rPr>
      </w:pPr>
      <w:r>
        <w:rPr>
          <w:rFonts w:hint="eastAsia" w:ascii="仿宋_GB2312" w:hAnsi="仿宋" w:eastAsia="仿宋_GB2312"/>
          <w:sz w:val="32"/>
          <w:szCs w:val="32"/>
        </w:rPr>
        <w:t>无</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五、办理地点</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color w:val="auto"/>
          <w:sz w:val="32"/>
          <w:szCs w:val="32"/>
          <w:lang w:val="en-US" w:eastAsia="zh-CN"/>
        </w:rPr>
      </w:pPr>
      <w:r>
        <w:rPr>
          <w:rFonts w:hint="eastAsia" w:ascii="仿宋_GB2312" w:hAnsi="仿宋" w:eastAsia="仿宋_GB2312"/>
          <w:color w:val="auto"/>
          <w:sz w:val="32"/>
          <w:szCs w:val="32"/>
          <w:lang w:eastAsia="zh-CN"/>
        </w:rPr>
        <w:t>涞源县城区百泉路</w:t>
      </w:r>
      <w:r>
        <w:rPr>
          <w:rFonts w:hint="eastAsia" w:ascii="仿宋_GB2312" w:hAnsi="仿宋" w:eastAsia="仿宋_GB2312"/>
          <w:color w:val="auto"/>
          <w:sz w:val="32"/>
          <w:szCs w:val="32"/>
          <w:lang w:val="en-US" w:eastAsia="zh-CN"/>
        </w:rPr>
        <w:t>827号</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六、责任事项依据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农业行政处罚程序规定》第二十九条“农业行政处罚机关对涉嫌违反农业法律、法规和规章的行为，应当自发现线索或者收到相关材料之日起十五个工作日内予以核查，由农业行政处罚机关负责人决定是否立案；因特殊情况不能在规定期限内立案的，经农业行政处罚机关负责人批准，可以延长十五个工作日。法律、法规、规章另有规定的除外。”</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 xml:space="preserve">2.《农业行政处罚程序规定》第三十一条“对已经立案的案件，根据新的情况发现不符合第三十条规定的立案条件的，农业行政处罚机关应当撤销立案。” </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3.《农业行政处罚程序规定》第三十二条“农业行政处罚机关对立案的农业违法行为，应当及时组织调查取证。必要时，按照法律、法规的规定，可以进行检查。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农业行政执法人员调查收集证据、进行检查时不得少于二人，并应当出示农业行政执法证件。”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4.《农业行政处罚程序规定》第五条“具有下列情形之一的，农业行政执法人员应当主动申请回避，当事人也有权申请其回避：</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（一）是本案当事人或者当事人的近亲属；</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（二）本人或者其近亲属与本案有直接利害关系；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（三）与本案当事人有其他利害关系，可能影响案件的公正处理。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农业行政处罚机关主要负责人的回避，由该机关负责人集体讨论决定；其他人员的回避，由该机关主要负责人决定。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回避决定作出前，主动申请回避或者被申请回避的人员不停止对案件的调查处理。”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5.《农业行政处罚程序规定》第四十八条“有下列情形之一的，经农业行政处罚机关负责人批准，中止案件调查，并制作案件中止调查决定书：</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（一）行政处罚决定必须以相关案件的裁判结果或者其他行政决定为依据，而相关案件尚未审结或者其他行政决定尚未作出；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（二）涉及法律适用等问题，需要送请有权机关作出解释或者确认；</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（三）因不可抗力致使案件暂时无法调查；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（四）因当事人下落不明致使案件暂时无法调查；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（五）其他应当中止调查的情形。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中止调查的原因消除后，应当立即恢复案件调查。”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6.《农业行政处罚程序规定》“第四十九条　农业行政执法人员在调查结束后，应当根据不同情形提出如下处理建议，并制作案件处理意见书，报请农业行政处罚机关负责人审查：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（一）违法事实成立，应给予行政处罚的，建议予以行政处罚；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（二）违法事实不成立的，建议予以撤销案件；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（三）违法行为轻微并及时纠正，没有造成危害后果的，建议不予行政处罚；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（四）违法行为超过追诉时效的，建议不再给予行政处罚；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（五）案件应当移交其他行政机关管辖或者因涉嫌犯罪应当移送司法机关的，建议移送相关机关；</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（六）依法作出处理的其他情形。”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7.《农业行政处罚程序规定》第五十条“农业行政处罚机关负责人作出行政处罚决定前，应当依法严格进行法制审核。未经法制审核或者审核未通过的，农业行政处罚机关不得作出行政处罚决定。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农业行政处罚法制审核工作由农业行政处罚机关法制机构负责；未设置法制机构的，由农业行政处罚机关确定的承担法制审核工作的其他机构或者专门人员负责。</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案件查办人员不得同时作为该案件的法制审核人员。农业行政处罚机关中初次从事法制审核的人员，应当通过国家统一法律职业资格考试取得法律职业资格。”</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8.《农业行政处罚程序规定》第五十一条“农业行政处罚决定法制审核的主要内容包括：</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（一）本机关是否具有管辖权；</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（二）程序是否合法；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（三）案件事实是否清楚，证据是否确实、充分；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（四）定性是否准确；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（五）适用法律依据是否正确；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（六）当事人基本情况是否清楚；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（七）处理意见是否适当；</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（八）其他应当审核的内容。”</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9.《农业行政处罚程序规定》第五十二条“法制审核结束后，应当区别不同情况提出如下建议：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（一）对事实清楚、证据充分、定性准确、适用依据正确、程序合法、处理适当的案件，拟同意作出行政处罚决定；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（二）对定性不准、适用依据错误、程序不合法或者处理不当的案件，建议纠正；</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（三）对违法事实不清、证据不充分的案件，建议补充调查或者撤销案件；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（四）违法行为轻微并及时纠正没有造成危害后果的，或者违法行为超过追诉时效的，建议不予行政处罚；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（五）认为有必要提出的其他意见和建议。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10.《农业行政处罚程序规定》第二十三条“农业行政处罚机关作出农业行政处罚决定前，应当告知当事人拟作出的决定内容、事实、理由及依据，并告知当事人依法享有的权利。</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采取一般程序查办的案件，农业行政处罚机关应当制作行政处罚事先告知书送达当事人，并告知当事人可以在收到告知书之日起三日内进行陈述、申辩。符合听证条件的，应当告知当事人可以要求听证。</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当事人无正当理由逾期提出陈述、申辩或者要求听证的，视为放弃上述权利。</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11.《农业行政处罚程序规定》第五十六条　农业行政处罚机关决定给予行政处罚的，应当制作行政处罚决定书。行政处罚决定书应当载明以下内容：</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（一）当事人的基本情况；</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（二）违反法律、法规或者规章的事实和证据；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（三）行政处罚的种类、依据和理由；</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（四）行政处罚的履行方式和期限；</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（五）不服行政处罚决定，申请行政复议或者提起行政诉讼的途径和期限；</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（六）作出行政处罚决定的农业行政处罚机关名称和作出决定的日期，并且加盖作出行政处罚决定农业行政处罚机关的印章。</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12.《农业行政处罚程序规定》第六十九条　农业行政处罚机关送达行政处罚决定书，应当在宣告后当场交付当事人；当事人不在场的，应当在七日内将行政处罚决定书送达当事人。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13.《农业行政处罚程序规定》第七十三条　当事人应当在行政处罚决定书确定的期限内，履行处罚决定。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农业行政处罚决定依法作出后，当事人对行政处罚决定不服申请行政复议或者提起行政诉讼的，除法律另有规定外，行政处罚决定不停止执行。</w:t>
      </w:r>
    </w:p>
    <w:p>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追责情形依据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行政处罚法》第五十五条“行政机关实施行政处罚，有下列情形之一的，由上级行政机关或者有关部门责令改正，可以对直接负责的主管人员和其他直接责任人员依法给予行政处分：（一）没有法定的行政处罚依据的；（二）擅自改变行政处罚种类、幅度的；（三）违反法定的行政处罚程序的；（四）违反本法第十八条关于委托处罚的规定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2.《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3.《行政处罚法》第六十一条“行政机关为牟取本单位私利，对应当依法移交司法机关追究刑事责任的不移交，以行政处罚代替刑罚，由上级行政机关或者有关部门责令纠正；拒不纠正的，对直接负责的主管人员给予行政处分；徇私舞弊、包庇纵容违法行为的，比照刑法第一百八十八条的规定追究刑事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4.《行政处罚法》第五十八条“行政机关将罚款、没收的违法所得或者财物截留、私分或者变相私分的，由财政部门或者有关部门予以追缴，对直接负责的主管人员和其他直接责任人员依法给予行政处分；情节严重构成犯罪的，依法追究刑事责任。执法人员利用职务上的便利，索取或者收受他人财物、收缴罚款据为己有，构成犯罪的，依法追究刑事责任；情节轻微不构成犯罪的，依法给予行政处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八、联系电话</w:t>
      </w:r>
    </w:p>
    <w:p>
      <w:pPr>
        <w:keepNext w:val="0"/>
        <w:keepLines w:val="0"/>
        <w:pageBreakBefore w:val="0"/>
        <w:numPr>
          <w:ilvl w:val="0"/>
          <w:numId w:val="0"/>
        </w:numPr>
        <w:kinsoku/>
        <w:wordWrap/>
        <w:overflowPunct/>
        <w:topLinePunct w:val="0"/>
        <w:autoSpaceDE/>
        <w:autoSpaceDN/>
        <w:bidi w:val="0"/>
        <w:adjustRightInd/>
        <w:snapToGrid/>
        <w:spacing w:after="0" w:line="580" w:lineRule="exact"/>
        <w:ind w:leftChars="-8"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13722299899</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九、监督电话</w:t>
      </w:r>
    </w:p>
    <w:p>
      <w:pPr>
        <w:keepNext w:val="0"/>
        <w:keepLines w:val="0"/>
        <w:pageBreakBefore w:val="0"/>
        <w:numPr>
          <w:ilvl w:val="0"/>
          <w:numId w:val="0"/>
        </w:numPr>
        <w:kinsoku/>
        <w:wordWrap/>
        <w:overflowPunct/>
        <w:topLinePunct w:val="0"/>
        <w:autoSpaceDE/>
        <w:autoSpaceDN/>
        <w:bidi w:val="0"/>
        <w:adjustRightInd/>
        <w:snapToGrid/>
        <w:spacing w:after="0" w:line="580" w:lineRule="exact"/>
        <w:ind w:leftChars="-8" w:firstLine="640" w:firstLineChars="200"/>
        <w:textAlignment w:val="auto"/>
        <w:rPr>
          <w:rFonts w:hint="default" w:ascii="仿宋_GB2312" w:hAnsi="仿宋_GB2312" w:eastAsia="仿宋_GB2312" w:cs="仿宋_GB2312"/>
          <w:color w:val="FF0000"/>
          <w:sz w:val="32"/>
          <w:szCs w:val="32"/>
          <w:lang w:val="en-US" w:eastAsia="zh-CN"/>
        </w:rPr>
      </w:pPr>
      <w:r>
        <w:rPr>
          <w:rFonts w:hint="eastAsia" w:ascii="仿宋_GB2312" w:hAnsi="仿宋_GB2312" w:eastAsia="仿宋_GB2312" w:cs="仿宋_GB2312"/>
          <w:sz w:val="32"/>
          <w:szCs w:val="32"/>
        </w:rPr>
        <w:t>0312-</w:t>
      </w:r>
      <w:r>
        <w:rPr>
          <w:rFonts w:hint="eastAsia" w:ascii="仿宋_GB2312" w:hAnsi="仿宋_GB2312" w:eastAsia="仿宋_GB2312" w:cs="仿宋_GB2312"/>
          <w:sz w:val="32"/>
          <w:szCs w:val="32"/>
          <w:lang w:val="en-US" w:eastAsia="zh-CN"/>
        </w:rPr>
        <w:t>7321776</w:t>
      </w:r>
      <w:bookmarkStart w:id="0" w:name="_GoBack"/>
      <w:bookmarkEnd w:id="0"/>
    </w:p>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26C266"/>
    <w:multiLevelType w:val="singleLevel"/>
    <w:tmpl w:val="E326C266"/>
    <w:lvl w:ilvl="0" w:tentative="0">
      <w:start w:val="7"/>
      <w:numFmt w:val="chineseCounting"/>
      <w:suff w:val="nothing"/>
      <w:lvlText w:val="%1、"/>
      <w:lvlJc w:val="left"/>
      <w:rPr>
        <w:rFonts w:hint="eastAsia"/>
      </w:rPr>
    </w:lvl>
  </w:abstractNum>
  <w:abstractNum w:abstractNumId="1">
    <w:nsid w:val="FF75E94D"/>
    <w:multiLevelType w:val="singleLevel"/>
    <w:tmpl w:val="FF75E94D"/>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FA0DD4"/>
    <w:rsid w:val="100D39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2021-07-22T01:33:00Z</dcterms:created>
  <dc:creator>Administrator</dc:creator>
  <cp:lastModifiedBy>Administrator</cp:lastModifiedBy>
  <dcterms:modified xsi:type="dcterms:W3CDTF">2021-07-22T01:39:37Z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894928C060824095926363E0FCD3CE1F</vt:lpwstr>
  </property>
</Properties>
</file>