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 xmlns:w14="http://schemas.microsoft.com/office/word/2010/wordml" xmlns:w15="http://schemas.microsoft.com/office/word/2012/wordml" xmlns:a14="http://schemas.microsoft.com/office/drawing/2010/main" mc:Ignorable="w14 w15">
  <w:body>
    <w:tbl>
      <w:tblPr>
        <w:jc w:val="left"/>
        <w:tblInd w:w="0" w:type="dxa"/>
        <w:tblW w:w="15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8"/>
        <w:gridCol w:w="2165"/>
        <w:gridCol w:w="721"/>
        <w:gridCol w:w="722"/>
        <w:gridCol w:w="1156"/>
        <w:gridCol w:w="1299"/>
        <w:gridCol w:w="1156"/>
        <w:gridCol w:w="1299"/>
        <w:gridCol w:w="1675"/>
        <w:gridCol w:w="1357"/>
        <w:gridCol w:w="1299"/>
        <w:gridCol w:w="1299"/>
        <w:gridCol w:w="1011"/>
      </w:tblGrid>
      <w:tr>
        <w:trPr>
          <w:trHeight w:val="788"/>
        </w:trPr>
        <w:tc>
          <w:tcPr>
            <w:tcW w:w="15847" w:type="dxa"/>
            <w:gridSpan w:val="13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涞源县教育和体育局行政执法事项清单</w:t>
            </w:r>
          </w:p>
        </w:tc>
      </w:tr>
      <w:tr>
        <w:trPr>
          <w:trHeight w:val="747"/>
        </w:trPr>
        <w:tc>
          <w:tcPr>
            <w:tcW w:w="15847" w:type="dxa"/>
            <w:gridSpan w:val="13"/>
            <w:vAlign w:val="center"/>
          </w:tcPr>
          <w:p>
            <w:r>
              <w:rPr>
                <w:rFonts w:hint="eastAsia"/>
              </w:rPr>
              <w:t>填报单位：涞源县教育和体育局                                                              主要领导签字：</w:t>
            </w:r>
          </w:p>
        </w:tc>
      </w:tr>
      <w:tr>
        <w:trPr>
          <w:trHeight w:val="387"/>
        </w:trPr>
        <w:tc>
          <w:tcPr>
            <w:tcW w:w="688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项目编码</w:t>
            </w:r>
          </w:p>
        </w:tc>
        <w:tc>
          <w:tcPr>
            <w:tcW w:w="2165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721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执法类别</w:t>
            </w:r>
          </w:p>
        </w:tc>
        <w:tc>
          <w:tcPr>
            <w:tcW w:w="722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执法主体</w:t>
            </w:r>
          </w:p>
        </w:tc>
        <w:tc>
          <w:tcPr>
            <w:tcW w:w="1156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承办机构</w:t>
            </w:r>
          </w:p>
          <w:p>
            <w:pPr>
              <w:jc w:val="center"/>
            </w:pPr>
            <w:r>
              <w:rPr>
                <w:rFonts w:hint="eastAsia"/>
              </w:rPr>
              <w:t>（股室）</w:t>
            </w:r>
          </w:p>
        </w:tc>
        <w:tc>
          <w:tcPr>
            <w:tcW w:w="8085" w:type="dxa"/>
            <w:gridSpan w:val="6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执 法 依 据</w:t>
            </w:r>
          </w:p>
        </w:tc>
        <w:tc>
          <w:tcPr>
            <w:tcW w:w="1299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执法权限</w:t>
            </w:r>
          </w:p>
        </w:tc>
        <w:tc>
          <w:tcPr>
            <w:tcW w:w="1011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实施对 象</w:t>
            </w:r>
          </w:p>
        </w:tc>
      </w:tr>
      <w:tr>
        <w:trPr>
          <w:trHeight w:val="304"/>
        </w:trPr>
        <w:tc>
          <w:tcPr>
            <w:tcW w:w="688" w:type="dxa"/>
            <w:vMerge/>
            <w:vAlign w:val="center"/>
          </w:tcPr>
          <w:p/>
        </w:tc>
        <w:tc>
          <w:tcPr>
            <w:tcW w:w="2165" w:type="dxa"/>
            <w:vMerge/>
            <w:vAlign w:val="center"/>
          </w:tcPr>
          <w:p/>
        </w:tc>
        <w:tc>
          <w:tcPr>
            <w:tcW w:w="721" w:type="dxa"/>
            <w:vMerge/>
            <w:vAlign w:val="center"/>
          </w:tcPr>
          <w:p/>
        </w:tc>
        <w:tc>
          <w:tcPr>
            <w:tcW w:w="722" w:type="dxa"/>
            <w:vMerge/>
            <w:vAlign w:val="center"/>
          </w:tcPr>
          <w:p/>
        </w:tc>
        <w:tc>
          <w:tcPr>
            <w:tcW w:w="1156" w:type="dxa"/>
            <w:vMerge/>
            <w:vAlign w:val="center"/>
          </w:tcPr>
          <w:p/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法律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行政法规</w:t>
            </w: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地方性法规</w:t>
            </w:r>
          </w:p>
        </w:tc>
        <w:tc>
          <w:tcPr>
            <w:tcW w:w="16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部委规章</w:t>
            </w:r>
          </w:p>
        </w:tc>
        <w:tc>
          <w:tcPr>
            <w:tcW w:w="1357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政府规章</w:t>
            </w: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规范性文件</w:t>
            </w:r>
          </w:p>
        </w:tc>
        <w:tc>
          <w:tcPr>
            <w:tcW w:w="1299" w:type="dxa"/>
            <w:vMerge/>
            <w:vAlign w:val="center"/>
          </w:tcPr>
          <w:p/>
        </w:tc>
        <w:tc>
          <w:tcPr>
            <w:tcW w:w="1011" w:type="dxa"/>
            <w:vMerge/>
            <w:vAlign w:val="center"/>
          </w:tcPr>
          <w:p/>
        </w:tc>
      </w:tr>
      <w:tr>
        <w:trPr>
          <w:trHeight w:val="1910"/>
        </w:trPr>
        <w:tc>
          <w:tcPr>
            <w:tcW w:w="68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001</w:t>
            </w:r>
          </w:p>
        </w:tc>
        <w:tc>
          <w:tcPr>
            <w:tcW w:w="216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擅自举办民办学校处罚、民办学校年检</w:t>
            </w:r>
          </w:p>
        </w:tc>
        <w:tc>
          <w:tcPr>
            <w:tcW w:w="72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行政处罚</w:t>
            </w:r>
          </w:p>
        </w:tc>
        <w:tc>
          <w:tcPr>
            <w:tcW w:w="72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县教育和体育局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教体股</w:t>
            </w: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《中华人民共和国民办教育促进法》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</w:p>
        </w:tc>
        <w:tc>
          <w:tcPr>
            <w:tcW w:w="1675" w:type="dxa"/>
            <w:vAlign w:val="center"/>
          </w:tcPr>
          <w:p>
            <w:pPr>
              <w:jc w:val="center"/>
            </w:pPr>
          </w:p>
        </w:tc>
        <w:tc>
          <w:tcPr>
            <w:tcW w:w="1357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《中华人民共和国民办教育促进法》第六十四条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民办学校</w:t>
            </w:r>
          </w:p>
        </w:tc>
      </w:tr>
      <w:tr>
        <w:trPr>
          <w:trHeight w:val="1910"/>
        </w:trPr>
        <w:tc>
          <w:tcPr>
            <w:tcW w:w="68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002</w:t>
            </w:r>
          </w:p>
        </w:tc>
        <w:tc>
          <w:tcPr>
            <w:tcW w:w="216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违规办学行为处罚、违法颁发学历证书处罚、对考试招生违法行为处罚</w:t>
            </w:r>
          </w:p>
        </w:tc>
        <w:tc>
          <w:tcPr>
            <w:tcW w:w="72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行政处罚</w:t>
            </w:r>
          </w:p>
        </w:tc>
        <w:tc>
          <w:tcPr>
            <w:tcW w:w="72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县教育和体育局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教体股</w:t>
            </w: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《中华人民共和国义务教育法》、《中华人民共和国教育法》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</w:p>
        </w:tc>
        <w:tc>
          <w:tcPr>
            <w:tcW w:w="1675" w:type="dxa"/>
            <w:vAlign w:val="center"/>
          </w:tcPr>
          <w:p>
            <w:pPr>
              <w:jc w:val="center"/>
            </w:pPr>
          </w:p>
        </w:tc>
        <w:tc>
          <w:tcPr>
            <w:tcW w:w="1357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《义务教育法》第55条、《教育法》第82条、《教育法》第76-78条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各级各类学校</w:t>
            </w:r>
          </w:p>
        </w:tc>
      </w:tr>
      <w:tr>
        <w:trPr>
          <w:trHeight w:val="1910"/>
        </w:trPr>
        <w:tc>
          <w:tcPr>
            <w:tcW w:w="68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003</w:t>
            </w:r>
          </w:p>
        </w:tc>
        <w:tc>
          <w:tcPr>
            <w:tcW w:w="216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学校安全检查</w:t>
            </w:r>
          </w:p>
        </w:tc>
        <w:tc>
          <w:tcPr>
            <w:tcW w:w="72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行政检查</w:t>
            </w:r>
          </w:p>
        </w:tc>
        <w:tc>
          <w:tcPr>
            <w:tcW w:w="72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县教育和体育局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安全法制股</w:t>
            </w:r>
          </w:p>
        </w:tc>
        <w:tc>
          <w:tcPr>
            <w:tcW w:w="1299" w:type="dxa"/>
            <w:vAlign w:val="center"/>
          </w:tcPr>
          <w:p>
            <w:pPr>
              <w:jc w:val="center"/>
            </w:pPr>
          </w:p>
        </w:tc>
        <w:tc>
          <w:tcPr>
            <w:tcW w:w="1156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《河北省安全生产管理条例》、《学生伤害事故处理办法》</w:t>
            </w:r>
          </w:p>
        </w:tc>
        <w:tc>
          <w:tcPr>
            <w:tcW w:w="1675" w:type="dxa"/>
            <w:vAlign w:val="center"/>
          </w:tcPr>
          <w:p>
            <w:pPr>
              <w:jc w:val="center"/>
              <w:rPr>
                <w:rFonts w:asci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《中小学幼儿园安全管理办法》（2006年教育部令第23号）第七条；2.《学校食堂与学生集体用餐卫生管理规定》（2002年教育部、卫生部令第14号）第三条</w:t>
            </w:r>
          </w:p>
          <w:p>
            <w:pPr>
              <w:jc w:val="center"/>
            </w:pPr>
          </w:p>
        </w:tc>
        <w:tc>
          <w:tcPr>
            <w:tcW w:w="1357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《河北省安全生产管理条例》、《学生伤害事故处理办法》有关规定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各级各类学校</w:t>
            </w:r>
          </w:p>
        </w:tc>
      </w:tr>
      <w:tr>
        <w:trPr>
          <w:trHeight w:val="1910"/>
        </w:trPr>
        <w:tc>
          <w:tcPr>
            <w:tcW w:w="688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004</w:t>
            </w:r>
          </w:p>
        </w:tc>
        <w:tc>
          <w:tcPr>
            <w:tcW w:w="216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师德师风检查、教师资格制度检查</w:t>
            </w:r>
          </w:p>
        </w:tc>
        <w:tc>
          <w:tcPr>
            <w:tcW w:w="72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行政检查</w:t>
            </w:r>
          </w:p>
        </w:tc>
        <w:tc>
          <w:tcPr>
            <w:tcW w:w="722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县教育和体育局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办公室</w:t>
            </w: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《中华人民共和国教师法》</w:t>
            </w:r>
          </w:p>
        </w:tc>
        <w:tc>
          <w:tcPr>
            <w:tcW w:w="1156" w:type="dxa"/>
            <w:vAlign w:val="center"/>
          </w:tcPr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</w:p>
        </w:tc>
        <w:tc>
          <w:tcPr>
            <w:tcW w:w="16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《教师资格条例实施办法》</w:t>
            </w:r>
          </w:p>
        </w:tc>
        <w:tc>
          <w:tcPr>
            <w:tcW w:w="1357" w:type="dxa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《中小学教师职业道德规范(2013年修订)》；                               《中小学教师违反职业道德行为处理办法》（教师〔2014〕1号）；          3.《严禁中小学校和在职中小学教师有偿补课的规定》（教师〔2015〕5号）</w:t>
            </w:r>
          </w:p>
        </w:tc>
        <w:tc>
          <w:tcPr>
            <w:tcW w:w="1299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《中华人民共和国教师法》、《教师资格条例实施办法》有关规定</w:t>
            </w:r>
          </w:p>
        </w:tc>
        <w:tc>
          <w:tcPr>
            <w:tcW w:w="101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各级各类学校</w:t>
            </w:r>
          </w:p>
        </w:tc>
      </w:tr>
    </w:tbl>
    <w:p>
      <w:pPr>
        <w:spacing w:line="20" w:lineRule="exact"/>
      </w:pPr>
    </w:p>
    <w:sectPr>
      <w:pgSz w:w="16838" w:h="11906" w:orient="landscape"/>
      <w:pgMar w:top="720" w:right="720" w:bottom="720" w:left="720" w:header="851" w:footer="992" w:gutter="0"/>
      <w:docGrid w:type="lines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auto"/>
    <w:pitch w:val="variable"/>
    <w:sig w:usb0="00000A87" w:usb1="00000000" w:usb2="00000000" w:usb3="00000000" w:csb0="400001BF" w:csb1="DFF7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00007A87" w:usb1="80000000" w:usb2="00000008" w:usb3="00000000" w:csb0="400001FF" w:csb1="FFFF0000"/>
  </w:font>
  <w:font w:name="黑体">
    <w:panose1 w:val="02010609060101010101"/>
    <w:charset w:val="86"/>
    <w:family w:val="auto"/>
    <w:pitch w:val="variable"/>
    <w:sig w:usb0="800002BF" w:usb1="38CF7CFA" w:usb2="00000016" w:usb3="00000000" w:csb0="00040001" w:csb1="00000000"/>
  </w:font>
</w:fonts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ulTrailSpace/>
    <w:doNotExpandShiftReturn/>
    <w:adjustLineHeightInTable/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Calibri" w:eastAsia="宋体" w:cs="Arial" w:hAnsi="Calibri"/>
      <w:kern w:val="2"/>
      <w:sz w:val="21"/>
      <w:szCs w:val="2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Times New Roman" w:eastAsia="黑体" w:hAnsi="Times New Roman"/>
      <w:b/>
      <w:bCs/>
      <w:sz w:val="32"/>
      <w:szCs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</w:style>
  <w:style w:type="paragraph" w:styleId="15">
    <w:name w:val="header"/>
    <w:basedOn w:val="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footer"/>
    <w:basedOn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77</TotalTime>
  <Application>Yozo_Office27021597764231179</Application>
  <Pages>2</Pages>
  <Words>600</Words>
  <Characters>634</Characters>
  <Lines>157</Lines>
  <Paragraphs>52</Paragraphs>
  <CharactersWithSpaces>741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lyjyj</dc:creator>
  <cp:lastModifiedBy>Administrator</cp:lastModifiedBy>
  <cp:revision>9</cp:revision>
  <cp:lastPrinted>2020-05-19T04:10:00Z</cp:lastPrinted>
  <dcterms:created xsi:type="dcterms:W3CDTF">2020-05-19T02:58:00Z</dcterms:created>
  <dcterms:modified xsi:type="dcterms:W3CDTF">2022-08-08T02:16:04Z</dcterms:modified>
</cp:coreProperties>
</file>