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402638">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17" w:lineRule="atLeast"/>
        <w:ind w:left="0" w:right="0" w:firstLine="880" w:firstLineChars="200"/>
        <w:jc w:val="both"/>
        <w:rPr>
          <w:rFonts w:ascii="微软雅黑" w:hAnsi="微软雅黑" w:eastAsia="微软雅黑" w:cs="微软雅黑"/>
          <w:b w:val="0"/>
          <w:bCs w:val="0"/>
          <w:i w:val="0"/>
          <w:iCs w:val="0"/>
          <w:caps w:val="0"/>
          <w:color w:val="auto"/>
          <w:spacing w:val="0"/>
          <w:sz w:val="45"/>
          <w:szCs w:val="45"/>
        </w:rPr>
      </w:pPr>
      <w:r>
        <w:rPr>
          <w:rFonts w:hint="eastAsia" w:ascii="微软雅黑" w:hAnsi="微软雅黑" w:eastAsia="微软雅黑" w:cs="微软雅黑"/>
          <w:b w:val="0"/>
          <w:bCs w:val="0"/>
          <w:i w:val="0"/>
          <w:iCs w:val="0"/>
          <w:caps w:val="0"/>
          <w:color w:val="auto"/>
          <w:spacing w:val="0"/>
          <w:sz w:val="44"/>
          <w:szCs w:val="44"/>
          <w:shd w:val="clear" w:fill="FFFFFF"/>
          <w:lang w:val="en-US" w:eastAsia="zh-CN"/>
        </w:rPr>
        <w:t>留家庄乡</w:t>
      </w:r>
      <w:r>
        <w:rPr>
          <w:rFonts w:hint="eastAsia" w:ascii="微软雅黑" w:hAnsi="微软雅黑" w:eastAsia="微软雅黑" w:cs="微软雅黑"/>
          <w:b w:val="0"/>
          <w:bCs w:val="0"/>
          <w:i w:val="0"/>
          <w:iCs w:val="0"/>
          <w:caps w:val="0"/>
          <w:color w:val="auto"/>
          <w:spacing w:val="0"/>
          <w:sz w:val="44"/>
          <w:szCs w:val="44"/>
          <w:shd w:val="clear" w:fill="FFFFFF"/>
          <w:lang w:eastAsia="zh-CN"/>
        </w:rPr>
        <w:t>人民政府</w:t>
      </w:r>
      <w:r>
        <w:rPr>
          <w:rFonts w:hint="eastAsia" w:ascii="微软雅黑" w:hAnsi="微软雅黑" w:eastAsia="微软雅黑" w:cs="微软雅黑"/>
          <w:b w:val="0"/>
          <w:bCs w:val="0"/>
          <w:i w:val="0"/>
          <w:iCs w:val="0"/>
          <w:caps w:val="0"/>
          <w:color w:val="auto"/>
          <w:spacing w:val="0"/>
          <w:sz w:val="44"/>
          <w:szCs w:val="44"/>
          <w:shd w:val="clear" w:fill="FFFFFF"/>
        </w:rPr>
        <w:t>行政处罚服务指南</w:t>
      </w:r>
    </w:p>
    <w:p w14:paraId="3C2627F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ascii="Calibri" w:hAnsi="Calibri" w:eastAsia="Calibri" w:cs="Calibri"/>
          <w:sz w:val="24"/>
          <w:szCs w:val="24"/>
        </w:rPr>
      </w:pPr>
      <w:r>
        <w:rPr>
          <w:rFonts w:ascii="黑体" w:hAnsi="宋体" w:eastAsia="黑体" w:cs="黑体"/>
          <w:i w:val="0"/>
          <w:iCs w:val="0"/>
          <w:caps w:val="0"/>
          <w:color w:val="333333"/>
          <w:spacing w:val="0"/>
          <w:sz w:val="32"/>
          <w:szCs w:val="32"/>
          <w:shd w:val="clear" w:fill="FFFFFF"/>
          <w:vertAlign w:val="baseline"/>
        </w:rPr>
        <w:t>一、执法事项：</w:t>
      </w:r>
      <w:r>
        <w:rPr>
          <w:rFonts w:ascii="仿宋" w:hAnsi="仿宋" w:eastAsia="仿宋" w:cs="仿宋"/>
          <w:i w:val="0"/>
          <w:iCs w:val="0"/>
          <w:caps w:val="0"/>
          <w:color w:val="333333"/>
          <w:spacing w:val="0"/>
          <w:sz w:val="32"/>
          <w:szCs w:val="32"/>
          <w:shd w:val="clear" w:fill="FFFFFF"/>
          <w:vertAlign w:val="baseline"/>
        </w:rPr>
        <w:t>行政处罚</w:t>
      </w:r>
    </w:p>
    <w:p w14:paraId="535B6AD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二、依据：</w:t>
      </w:r>
      <w:r>
        <w:rPr>
          <w:rFonts w:hint="eastAsia" w:ascii="仿宋" w:hAnsi="仿宋" w:eastAsia="仿宋" w:cs="仿宋"/>
          <w:i w:val="0"/>
          <w:iCs w:val="0"/>
          <w:caps w:val="0"/>
          <w:color w:val="333333"/>
          <w:spacing w:val="0"/>
          <w:sz w:val="32"/>
          <w:szCs w:val="32"/>
          <w:shd w:val="clear" w:fill="FFFFFF"/>
          <w:vertAlign w:val="baseline"/>
        </w:rPr>
        <w:t>《中华人民共和国行政处罚法》《中华人民共和国行政强制法》《中华人民共和国行政复议法》《中华人民共和国行政诉讼法》《中华人民共和国大气污染防治法》《河北省大气污染防治条例》《中华人民共和国城乡规划法》《河北省城乡规划条例》《河北省城市市容和环境卫生条例》《中华人民共和国大气污染防治法》《河北省城市市容和环境卫生条例》《河北省人民代表大会常务委员会关于加强扬尘污染防治的决定》《河北省城市市容和环境卫生条例》《城市建筑垃圾管理规定》《中华人民共和国固体废物污染环境防治法》《城市生活垃圾管理办法》《建设工程质量管理条例》《广播电视设施保护条例》《出版物市场管理规定》《出版管理条例》《营业性演出管理条例》《营业性演出管理条例实施细则》《互联网上网服务营业场所管理条例》《中华人民共和国文物保护法》《娱乐场所管理办法》《中华人民共和国电影产业促进法》《河北省宅基地管理办法》《中华人民共和国动物防疫法》《中华人民共和国种子法》《河北省种子管理条例》《农业管理条例》《中华人民共和国土地管理法》《河北省土地管理条例》《中华人民共和国安全生产法》《河北省安全生产条例》《河北省安全生产风险管控与隐患治理规定》《安全生产事故隐患排查治理暂行规定》《烟花爆竹经营许可实施办法》《烟花爆竹安全管理条例》《河北省清真食品管理条例》《河北省人民代表大会常务委员会关于促进农作物秸秆综合利用和禁止露天焚烧的决定》《公路安全保护条例》《中华人民共和国公路法》《中华人民共和国劳动合同法》《中华人民共和国就业促进法》《河北省劳动和社会保障监察条例》《禁止使用童工规定》《中华人民共和国劳动法》《河北省再生资源回收管理规定》《中华人民共和国水法》《中华人民共和国河道管理条例》《中华人民共和国执业医师法》《公共场所卫生管理条例》《公共场所卫生管理条例实施细则》《中华人民共和国食品安全法》《中华人民共和国森林法》《宗教事务条例》《中华人民共和国道路运输条例》《机动车维修管理规定》</w:t>
      </w:r>
    </w:p>
    <w:p w14:paraId="7C9CF1D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三、处罚范围：</w:t>
      </w:r>
      <w:r>
        <w:rPr>
          <w:rFonts w:hint="eastAsia" w:ascii="仿宋" w:hAnsi="仿宋" w:eastAsia="仿宋" w:cs="仿宋"/>
          <w:i w:val="0"/>
          <w:iCs w:val="0"/>
          <w:caps w:val="0"/>
          <w:color w:val="333333"/>
          <w:spacing w:val="0"/>
          <w:sz w:val="32"/>
          <w:szCs w:val="32"/>
          <w:shd w:val="clear" w:fill="FFFFFF"/>
          <w:vertAlign w:val="baseline"/>
        </w:rPr>
        <w:t>依法开展</w:t>
      </w:r>
      <w:r>
        <w:rPr>
          <w:rFonts w:hint="eastAsia" w:ascii="仿宋" w:hAnsi="仿宋" w:eastAsia="仿宋" w:cs="仿宋"/>
          <w:i w:val="0"/>
          <w:iCs w:val="0"/>
          <w:caps w:val="0"/>
          <w:color w:val="333333"/>
          <w:spacing w:val="0"/>
          <w:sz w:val="32"/>
          <w:szCs w:val="32"/>
          <w:shd w:val="clear" w:fill="FFFFFF"/>
          <w:vertAlign w:val="baseline"/>
          <w:lang w:eastAsia="zh-CN"/>
        </w:rPr>
        <w:t>辖区</w:t>
      </w:r>
      <w:r>
        <w:rPr>
          <w:rFonts w:hint="eastAsia" w:ascii="仿宋" w:hAnsi="仿宋" w:eastAsia="仿宋" w:cs="仿宋"/>
          <w:i w:val="0"/>
          <w:iCs w:val="0"/>
          <w:caps w:val="0"/>
          <w:color w:val="333333"/>
          <w:spacing w:val="0"/>
          <w:sz w:val="32"/>
          <w:szCs w:val="32"/>
          <w:shd w:val="clear" w:fill="FFFFFF"/>
          <w:vertAlign w:val="baseline"/>
        </w:rPr>
        <w:t>内环境、卫生、安全生产、交通、城市管理、劳动监察、文化广电、建筑施工、规划、宅基地、动物防疫、种子经营、农药、再生资源、取水、堤防、河道、医疗、林木、宗教等领域综合行政执法，查处违法行为。</w:t>
      </w:r>
    </w:p>
    <w:p w14:paraId="4BD18F3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四、承办机构：</w:t>
      </w:r>
      <w:r>
        <w:rPr>
          <w:rFonts w:hint="eastAsia" w:ascii="仿宋" w:hAnsi="仿宋" w:eastAsia="仿宋" w:cs="仿宋"/>
          <w:i w:val="0"/>
          <w:iCs w:val="0"/>
          <w:caps w:val="0"/>
          <w:color w:val="333333"/>
          <w:spacing w:val="0"/>
          <w:sz w:val="32"/>
          <w:szCs w:val="32"/>
          <w:shd w:val="clear" w:fill="FFFFFF"/>
          <w:vertAlign w:val="baseline"/>
          <w:lang w:val="en-US" w:eastAsia="zh-CN"/>
        </w:rPr>
        <w:t>留家庄乡</w:t>
      </w:r>
      <w:r>
        <w:rPr>
          <w:rFonts w:hint="eastAsia" w:ascii="仿宋" w:hAnsi="仿宋" w:eastAsia="仿宋" w:cs="仿宋"/>
          <w:i w:val="0"/>
          <w:iCs w:val="0"/>
          <w:caps w:val="0"/>
          <w:color w:val="333333"/>
          <w:spacing w:val="0"/>
          <w:sz w:val="32"/>
          <w:szCs w:val="32"/>
          <w:shd w:val="clear" w:fill="FFFFFF"/>
          <w:vertAlign w:val="baseline"/>
        </w:rPr>
        <w:t>综合行政执法队</w:t>
      </w:r>
    </w:p>
    <w:p w14:paraId="62CDA31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五、审批机构：</w:t>
      </w:r>
      <w:r>
        <w:rPr>
          <w:rFonts w:hint="eastAsia" w:ascii="仿宋" w:hAnsi="仿宋" w:eastAsia="仿宋" w:cs="仿宋"/>
          <w:i w:val="0"/>
          <w:iCs w:val="0"/>
          <w:caps w:val="0"/>
          <w:color w:val="333333"/>
          <w:spacing w:val="0"/>
          <w:sz w:val="32"/>
          <w:szCs w:val="32"/>
          <w:shd w:val="clear" w:fill="FFFFFF"/>
          <w:vertAlign w:val="baseline"/>
          <w:lang w:eastAsia="zh-CN"/>
        </w:rPr>
        <w:t>涞源县</w:t>
      </w:r>
      <w:r>
        <w:rPr>
          <w:rFonts w:hint="eastAsia" w:ascii="仿宋" w:hAnsi="仿宋" w:eastAsia="仿宋" w:cs="仿宋"/>
          <w:i w:val="0"/>
          <w:iCs w:val="0"/>
          <w:caps w:val="0"/>
          <w:color w:val="333333"/>
          <w:spacing w:val="0"/>
          <w:sz w:val="32"/>
          <w:szCs w:val="32"/>
          <w:shd w:val="clear" w:fill="FFFFFF"/>
          <w:vertAlign w:val="baseline"/>
          <w:lang w:val="en-US" w:eastAsia="zh-CN"/>
        </w:rPr>
        <w:t>留家庄乡</w:t>
      </w:r>
      <w:r>
        <w:rPr>
          <w:rFonts w:hint="eastAsia" w:ascii="仿宋" w:hAnsi="仿宋" w:eastAsia="仿宋" w:cs="仿宋"/>
          <w:i w:val="0"/>
          <w:iCs w:val="0"/>
          <w:caps w:val="0"/>
          <w:color w:val="333333"/>
          <w:spacing w:val="0"/>
          <w:sz w:val="32"/>
          <w:szCs w:val="32"/>
          <w:shd w:val="clear" w:fill="FFFFFF"/>
          <w:vertAlign w:val="baseline"/>
        </w:rPr>
        <w:t>人民政府</w:t>
      </w:r>
    </w:p>
    <w:p w14:paraId="2346678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六、办理流程：</w:t>
      </w:r>
      <w:r>
        <w:rPr>
          <w:rFonts w:hint="eastAsia" w:ascii="仿宋" w:hAnsi="仿宋" w:eastAsia="仿宋" w:cs="仿宋"/>
          <w:i w:val="0"/>
          <w:iCs w:val="0"/>
          <w:caps w:val="0"/>
          <w:color w:val="333333"/>
          <w:spacing w:val="0"/>
          <w:sz w:val="32"/>
          <w:szCs w:val="32"/>
          <w:shd w:val="clear" w:fill="FFFFFF"/>
          <w:vertAlign w:val="baseline"/>
        </w:rPr>
        <w:t>见行政处罚流程图</w:t>
      </w:r>
    </w:p>
    <w:p w14:paraId="1CDDE44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七、办理时限</w:t>
      </w:r>
    </w:p>
    <w:p w14:paraId="282A409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（一）自受理之日7日内立案；2个月内调查终结并作出行政处罚决定。需要延长办案时限的，应当在期限届满10</w:t>
      </w:r>
      <w:r>
        <w:rPr>
          <w:rFonts w:hint="eastAsia" w:ascii="仿宋" w:hAnsi="仿宋" w:eastAsia="仿宋" w:cs="仿宋"/>
          <w:i w:val="0"/>
          <w:iCs w:val="0"/>
          <w:caps w:val="0"/>
          <w:color w:val="333333"/>
          <w:spacing w:val="0"/>
          <w:sz w:val="32"/>
          <w:szCs w:val="32"/>
          <w:shd w:val="clear" w:fill="FFFFFF"/>
          <w:vertAlign w:val="baseline"/>
          <w:lang w:val="en-US" w:eastAsia="zh-CN"/>
        </w:rPr>
        <w:t>日</w:t>
      </w:r>
      <w:r>
        <w:rPr>
          <w:rFonts w:hint="eastAsia" w:ascii="仿宋" w:hAnsi="仿宋" w:eastAsia="仿宋" w:cs="仿宋"/>
          <w:i w:val="0"/>
          <w:iCs w:val="0"/>
          <w:caps w:val="0"/>
          <w:color w:val="333333"/>
          <w:spacing w:val="0"/>
          <w:sz w:val="32"/>
          <w:szCs w:val="32"/>
          <w:shd w:val="clear" w:fill="FFFFFF"/>
          <w:vertAlign w:val="baseline"/>
        </w:rPr>
        <w:t>前报请集体讨论决定，延长期限一般不超过1个月。</w:t>
      </w:r>
    </w:p>
    <w:p w14:paraId="6A45617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（二）证据先行登记保存时限7天，查封扣押期限30天，情况复杂需要延长的，经行政机关负责人批准可延长30日。</w:t>
      </w:r>
    </w:p>
    <w:p w14:paraId="0607123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（三）直接送达的文书7日内送达，公告送达时限60天。</w:t>
      </w:r>
    </w:p>
    <w:p w14:paraId="5BDA9FDB">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八、监督方式：</w:t>
      </w:r>
      <w:r>
        <w:rPr>
          <w:rFonts w:hint="eastAsia" w:ascii="仿宋" w:hAnsi="仿宋" w:eastAsia="仿宋" w:cs="仿宋"/>
          <w:i w:val="0"/>
          <w:iCs w:val="0"/>
          <w:caps w:val="0"/>
          <w:color w:val="333333"/>
          <w:spacing w:val="0"/>
          <w:sz w:val="32"/>
          <w:szCs w:val="32"/>
          <w:shd w:val="clear" w:fill="FFFFFF"/>
          <w:vertAlign w:val="baseline"/>
        </w:rPr>
        <w:t>问卷调查，稽查跟踪稽查。</w:t>
      </w:r>
    </w:p>
    <w:p w14:paraId="6114027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九、救济渠道</w:t>
      </w:r>
    </w:p>
    <w:p w14:paraId="1C3365CE">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（一）行政处罚事先告知与听证告知下达后3日内，当事人有要求陈述、申辩或听证的权力；</w:t>
      </w:r>
    </w:p>
    <w:p w14:paraId="06C0595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（二）行政处罚决定书送达后，当事人应当在15日内履行。</w:t>
      </w:r>
    </w:p>
    <w:p w14:paraId="24F4D8F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（三）如不服行政机关作出的处罚决定，可在收到行政处罚决定书之日起60日内向</w:t>
      </w:r>
      <w:r>
        <w:rPr>
          <w:rFonts w:hint="eastAsia" w:ascii="仿宋" w:hAnsi="仿宋" w:eastAsia="仿宋" w:cs="仿宋"/>
          <w:i w:val="0"/>
          <w:iCs w:val="0"/>
          <w:caps w:val="0"/>
          <w:color w:val="333333"/>
          <w:spacing w:val="0"/>
          <w:sz w:val="32"/>
          <w:szCs w:val="32"/>
          <w:shd w:val="clear" w:fill="FFFFFF"/>
          <w:vertAlign w:val="baseline"/>
          <w:lang w:eastAsia="zh-CN"/>
        </w:rPr>
        <w:t>涞源</w:t>
      </w:r>
      <w:r>
        <w:rPr>
          <w:rFonts w:hint="eastAsia" w:ascii="仿宋" w:hAnsi="仿宋" w:eastAsia="仿宋" w:cs="仿宋"/>
          <w:i w:val="0"/>
          <w:iCs w:val="0"/>
          <w:caps w:val="0"/>
          <w:color w:val="333333"/>
          <w:spacing w:val="0"/>
          <w:sz w:val="32"/>
          <w:szCs w:val="32"/>
          <w:shd w:val="clear" w:fill="FFFFFF"/>
          <w:vertAlign w:val="baseline"/>
        </w:rPr>
        <w:t>县人民政府申请行政复议，或者6个月内向人民法院提</w:t>
      </w:r>
      <w:r>
        <w:rPr>
          <w:rFonts w:hint="eastAsia" w:ascii="仿宋" w:hAnsi="仿宋" w:eastAsia="仿宋" w:cs="仿宋"/>
          <w:i w:val="0"/>
          <w:iCs w:val="0"/>
          <w:caps w:val="0"/>
          <w:color w:val="333333"/>
          <w:spacing w:val="0"/>
          <w:sz w:val="32"/>
          <w:szCs w:val="32"/>
          <w:shd w:val="clear" w:fill="FFFFFF"/>
          <w:vertAlign w:val="baseline"/>
          <w:lang w:eastAsia="zh-CN"/>
        </w:rPr>
        <w:t>起</w:t>
      </w:r>
      <w:r>
        <w:rPr>
          <w:rFonts w:hint="eastAsia" w:ascii="仿宋" w:hAnsi="仿宋" w:eastAsia="仿宋" w:cs="仿宋"/>
          <w:i w:val="0"/>
          <w:iCs w:val="0"/>
          <w:caps w:val="0"/>
          <w:color w:val="333333"/>
          <w:spacing w:val="0"/>
          <w:sz w:val="32"/>
          <w:szCs w:val="32"/>
          <w:shd w:val="clear" w:fill="FFFFFF"/>
          <w:vertAlign w:val="baseline"/>
        </w:rPr>
        <w:t>行政诉讼。</w:t>
      </w:r>
    </w:p>
    <w:p w14:paraId="501F589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十、处罚结果：</w:t>
      </w:r>
      <w:r>
        <w:rPr>
          <w:rFonts w:hint="eastAsia" w:ascii="仿宋" w:hAnsi="仿宋" w:eastAsia="仿宋" w:cs="仿宋"/>
          <w:i w:val="0"/>
          <w:iCs w:val="0"/>
          <w:caps w:val="0"/>
          <w:color w:val="333333"/>
          <w:spacing w:val="0"/>
          <w:sz w:val="32"/>
          <w:szCs w:val="32"/>
          <w:shd w:val="clear" w:fill="FFFFFF"/>
          <w:vertAlign w:val="baseline"/>
        </w:rPr>
        <w:t>向当事人送达行政处罚决定书，行政处罚结果在政府门户网站公示。</w:t>
      </w:r>
    </w:p>
    <w:p w14:paraId="42A133B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十一、责任追究</w:t>
      </w:r>
    </w:p>
    <w:p w14:paraId="349AFF0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（一）对没有法定的行政处罚依据，擅自改变行政处罚种类幅度，违反法定的行政处罚程序的，对直接负责的主管人员和其他直接责任人员依法给予行政处分。</w:t>
      </w:r>
    </w:p>
    <w:p w14:paraId="744A9CF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（二）对不使用罚款、没收财物单据或者使用非法定部门制发的罚款、没收财物单据的，对直接负责的主管人员和其他直接责任人员依法给予行政处分。</w:t>
      </w:r>
    </w:p>
    <w:p w14:paraId="7449152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三）对将罚款、没收的违法所得或者财物截留、私分或者变相私分的，由财政部门或者有关部门予以追缴，对直接负责的主管人员和其他直接责任人员依法给予行政处分；情节严重构成犯罪的，依法追究刑事责任。</w:t>
      </w:r>
    </w:p>
    <w:p w14:paraId="244F382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（四）对利用职务上的便利，索取或者收受他人财物、收缴罚款据为己有，构成犯罪的，依法追究刑事责任；情节轻微不构成犯罪的，依法给予行政处分。</w:t>
      </w:r>
    </w:p>
    <w:p w14:paraId="081C28A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（五）对使用或者损毁扣押的财物，对当事人造成损失的，应当依法予以赔偿，对直接负责的主管人员和其他直接责任人员依法给予行政处分。</w:t>
      </w:r>
    </w:p>
    <w:p w14:paraId="03ECA05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eastAsia" w:ascii="黑体" w:hAnsi="宋体" w:eastAsia="黑体" w:cs="黑体"/>
          <w:i w:val="0"/>
          <w:iCs w:val="0"/>
          <w:caps w:val="0"/>
          <w:color w:val="333333"/>
          <w:spacing w:val="0"/>
          <w:sz w:val="32"/>
          <w:szCs w:val="32"/>
          <w:shd w:val="clear" w:fill="FFFFFF"/>
          <w:vertAlign w:val="baseline"/>
        </w:rPr>
      </w:pPr>
    </w:p>
    <w:p w14:paraId="4953A9A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right="0" w:firstLine="640" w:firstLineChars="200"/>
        <w:jc w:val="both"/>
        <w:textAlignment w:val="baseline"/>
        <w:rPr>
          <w:rFonts w:hint="default" w:ascii="Calibri" w:hAnsi="Calibri" w:eastAsia="Calibri" w:cs="Calibri"/>
          <w:sz w:val="24"/>
          <w:szCs w:val="24"/>
        </w:rPr>
      </w:pPr>
      <w:r>
        <w:rPr>
          <w:rFonts w:hint="eastAsia" w:ascii="黑体" w:hAnsi="宋体" w:eastAsia="黑体" w:cs="黑体"/>
          <w:i w:val="0"/>
          <w:iCs w:val="0"/>
          <w:caps w:val="0"/>
          <w:color w:val="333333"/>
          <w:spacing w:val="0"/>
          <w:sz w:val="32"/>
          <w:szCs w:val="32"/>
          <w:shd w:val="clear" w:fill="FFFFFF"/>
          <w:vertAlign w:val="baseline"/>
        </w:rPr>
        <w:t>十二、办公地点、时间及电话</w:t>
      </w:r>
    </w:p>
    <w:p w14:paraId="3B2F9A8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eastAsia" w:ascii="Calibri" w:hAnsi="Calibri" w:eastAsia="仿宋" w:cs="Calibri"/>
          <w:sz w:val="24"/>
          <w:szCs w:val="24"/>
          <w:lang w:val="en-US" w:eastAsia="zh-CN"/>
        </w:rPr>
      </w:pPr>
      <w:r>
        <w:rPr>
          <w:rFonts w:hint="eastAsia" w:ascii="仿宋" w:hAnsi="仿宋" w:eastAsia="仿宋" w:cs="仿宋"/>
          <w:i w:val="0"/>
          <w:iCs w:val="0"/>
          <w:caps w:val="0"/>
          <w:color w:val="333333"/>
          <w:spacing w:val="0"/>
          <w:sz w:val="32"/>
          <w:szCs w:val="32"/>
          <w:shd w:val="clear" w:fill="FFFFFF"/>
          <w:vertAlign w:val="baseline"/>
        </w:rPr>
        <w:t>（一）地点：</w:t>
      </w:r>
      <w:r>
        <w:rPr>
          <w:rFonts w:hint="eastAsia" w:ascii="仿宋" w:hAnsi="仿宋" w:eastAsia="仿宋" w:cs="仿宋"/>
          <w:i w:val="0"/>
          <w:iCs w:val="0"/>
          <w:caps w:val="0"/>
          <w:color w:val="333333"/>
          <w:spacing w:val="0"/>
          <w:sz w:val="32"/>
          <w:szCs w:val="32"/>
          <w:shd w:val="clear" w:fill="FFFFFF"/>
          <w:vertAlign w:val="baseline"/>
          <w:lang w:eastAsia="zh-CN"/>
        </w:rPr>
        <w:t>涞源县</w:t>
      </w:r>
      <w:r>
        <w:rPr>
          <w:rFonts w:hint="eastAsia" w:ascii="仿宋" w:hAnsi="仿宋" w:eastAsia="仿宋" w:cs="仿宋"/>
          <w:i w:val="0"/>
          <w:iCs w:val="0"/>
          <w:caps w:val="0"/>
          <w:color w:val="333333"/>
          <w:spacing w:val="0"/>
          <w:sz w:val="32"/>
          <w:szCs w:val="32"/>
          <w:shd w:val="clear" w:fill="FFFFFF"/>
          <w:vertAlign w:val="baseline"/>
          <w:lang w:val="en-US" w:eastAsia="zh-CN"/>
        </w:rPr>
        <w:t>留家庄乡</w:t>
      </w:r>
      <w:r>
        <w:rPr>
          <w:rFonts w:hint="eastAsia" w:ascii="仿宋" w:hAnsi="仿宋" w:eastAsia="仿宋" w:cs="仿宋"/>
          <w:i w:val="0"/>
          <w:iCs w:val="0"/>
          <w:caps w:val="0"/>
          <w:color w:val="333333"/>
          <w:spacing w:val="0"/>
          <w:sz w:val="32"/>
          <w:szCs w:val="32"/>
          <w:shd w:val="clear" w:fill="FFFFFF"/>
          <w:vertAlign w:val="baseline"/>
        </w:rPr>
        <w:t>综合行政执法</w:t>
      </w:r>
      <w:r>
        <w:rPr>
          <w:rFonts w:hint="eastAsia" w:ascii="仿宋" w:hAnsi="仿宋" w:eastAsia="仿宋" w:cs="仿宋"/>
          <w:i w:val="0"/>
          <w:iCs w:val="0"/>
          <w:caps w:val="0"/>
          <w:color w:val="333333"/>
          <w:spacing w:val="0"/>
          <w:sz w:val="32"/>
          <w:szCs w:val="32"/>
          <w:shd w:val="clear" w:fill="FFFFFF"/>
          <w:vertAlign w:val="baseline"/>
          <w:lang w:val="en-US" w:eastAsia="zh-CN"/>
        </w:rPr>
        <w:t>队</w:t>
      </w:r>
    </w:p>
    <w:p w14:paraId="1C2ADE26">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（二）时间：上午：8:30～12:00 下午：13:30～17:30</w:t>
      </w:r>
    </w:p>
    <w:p w14:paraId="68F57790">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default" w:ascii="Calibri" w:hAnsi="Calibri" w:eastAsia="Calibri" w:cs="Calibri"/>
          <w:sz w:val="24"/>
          <w:szCs w:val="24"/>
        </w:rPr>
      </w:pPr>
      <w:r>
        <w:rPr>
          <w:rFonts w:hint="eastAsia" w:ascii="仿宋" w:hAnsi="仿宋" w:eastAsia="仿宋" w:cs="仿宋"/>
          <w:i w:val="0"/>
          <w:iCs w:val="0"/>
          <w:caps w:val="0"/>
          <w:color w:val="333333"/>
          <w:spacing w:val="0"/>
          <w:sz w:val="32"/>
          <w:szCs w:val="32"/>
          <w:shd w:val="clear" w:fill="FFFFFF"/>
          <w:vertAlign w:val="baseline"/>
        </w:rPr>
        <w:t>                              下午：14:30～17:30（夏季）</w:t>
      </w:r>
    </w:p>
    <w:p w14:paraId="3D4137A4">
      <w:pPr>
        <w:pStyle w:val="3"/>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left="0" w:right="0" w:firstLine="641"/>
        <w:jc w:val="both"/>
        <w:textAlignment w:val="baseline"/>
        <w:rPr>
          <w:rFonts w:hint="eastAsia"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rPr>
        <w:t>电话：031</w:t>
      </w:r>
      <w:r>
        <w:rPr>
          <w:rFonts w:hint="eastAsia" w:ascii="仿宋" w:hAnsi="仿宋" w:eastAsia="仿宋" w:cs="仿宋"/>
          <w:i w:val="0"/>
          <w:iCs w:val="0"/>
          <w:caps w:val="0"/>
          <w:color w:val="333333"/>
          <w:spacing w:val="0"/>
          <w:sz w:val="32"/>
          <w:szCs w:val="32"/>
          <w:shd w:val="clear" w:fill="FFFFFF"/>
          <w:vertAlign w:val="baseline"/>
          <w:lang w:val="en-US" w:eastAsia="zh-CN"/>
        </w:rPr>
        <w:t>2</w:t>
      </w:r>
      <w:r>
        <w:rPr>
          <w:rFonts w:hint="eastAsia" w:ascii="仿宋" w:hAnsi="仿宋" w:eastAsia="仿宋" w:cs="仿宋"/>
          <w:i w:val="0"/>
          <w:iCs w:val="0"/>
          <w:caps w:val="0"/>
          <w:color w:val="333333"/>
          <w:spacing w:val="0"/>
          <w:sz w:val="32"/>
          <w:szCs w:val="32"/>
          <w:shd w:val="clear" w:fill="FFFFFF"/>
          <w:vertAlign w:val="baseline"/>
        </w:rPr>
        <w:t>-</w:t>
      </w:r>
      <w:r>
        <w:rPr>
          <w:rFonts w:hint="eastAsia" w:ascii="仿宋" w:hAnsi="仿宋" w:eastAsia="仿宋" w:cs="仿宋"/>
          <w:i w:val="0"/>
          <w:iCs w:val="0"/>
          <w:caps w:val="0"/>
          <w:color w:val="333333"/>
          <w:spacing w:val="0"/>
          <w:sz w:val="32"/>
          <w:szCs w:val="32"/>
          <w:shd w:val="clear" w:fill="FFFFFF"/>
          <w:vertAlign w:val="baseline"/>
          <w:lang w:val="en-US" w:eastAsia="zh-CN"/>
        </w:rPr>
        <w:t>7331668</w:t>
      </w:r>
    </w:p>
    <w:p w14:paraId="254AFAAC">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right="0" w:rightChars="0"/>
        <w:jc w:val="both"/>
        <w:textAlignment w:val="baseline"/>
        <w:rPr>
          <w:rFonts w:hint="default" w:ascii="仿宋" w:hAnsi="仿宋" w:eastAsia="仿宋" w:cs="仿宋"/>
          <w:i w:val="0"/>
          <w:iCs w:val="0"/>
          <w:caps w:val="0"/>
          <w:color w:val="333333"/>
          <w:spacing w:val="0"/>
          <w:sz w:val="32"/>
          <w:szCs w:val="32"/>
          <w:shd w:val="clear" w:fill="FFFFFF"/>
          <w:vertAlign w:val="baseline"/>
          <w:lang w:val="en-US" w:eastAsia="zh-CN"/>
        </w:rPr>
      </w:pPr>
    </w:p>
    <w:p w14:paraId="77707518">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right="0" w:rightChars="0"/>
        <w:jc w:val="both"/>
        <w:textAlignment w:val="baseline"/>
        <w:rPr>
          <w:rFonts w:hint="default" w:ascii="仿宋" w:hAnsi="仿宋" w:eastAsia="仿宋" w:cs="仿宋"/>
          <w:i w:val="0"/>
          <w:iCs w:val="0"/>
          <w:caps w:val="0"/>
          <w:color w:val="333333"/>
          <w:spacing w:val="0"/>
          <w:sz w:val="32"/>
          <w:szCs w:val="32"/>
          <w:shd w:val="clear" w:fill="FFFFFF"/>
          <w:vertAlign w:val="baseline"/>
          <w:lang w:val="en-US" w:eastAsia="zh-CN"/>
        </w:rPr>
      </w:pPr>
      <w:bookmarkStart w:id="0" w:name="_GoBack"/>
      <w:bookmarkEnd w:id="0"/>
    </w:p>
    <w:p w14:paraId="62892E30">
      <w:pPr>
        <w:pStyle w:val="3"/>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150" w:afterAutospacing="0" w:line="400" w:lineRule="exact"/>
        <w:ind w:right="0" w:rightChars="0"/>
        <w:jc w:val="both"/>
        <w:textAlignment w:val="baseline"/>
        <w:rPr>
          <w:rFonts w:hint="default" w:ascii="仿宋" w:hAnsi="仿宋" w:eastAsia="仿宋" w:cs="仿宋"/>
          <w:i w:val="0"/>
          <w:iCs w:val="0"/>
          <w:caps w:val="0"/>
          <w:color w:val="333333"/>
          <w:spacing w:val="0"/>
          <w:sz w:val="32"/>
          <w:szCs w:val="32"/>
          <w:shd w:val="clear" w:fill="FFFFFF"/>
          <w:vertAlign w:val="baseline"/>
          <w:lang w:val="en-US" w:eastAsia="zh-CN"/>
        </w:rPr>
      </w:pPr>
      <w:r>
        <w:rPr>
          <w:rFonts w:hint="eastAsia" w:ascii="仿宋" w:hAnsi="仿宋" w:eastAsia="仿宋" w:cs="仿宋"/>
          <w:i w:val="0"/>
          <w:iCs w:val="0"/>
          <w:caps w:val="0"/>
          <w:color w:val="333333"/>
          <w:spacing w:val="0"/>
          <w:sz w:val="32"/>
          <w:szCs w:val="32"/>
          <w:shd w:val="clear" w:fill="FFFFFF"/>
          <w:vertAlign w:val="baseline"/>
          <w:lang w:val="en-US" w:eastAsia="zh-CN"/>
        </w:rPr>
        <w:t xml:space="preserve">                              </w:t>
      </w:r>
    </w:p>
    <w:p w14:paraId="5743515D"/>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834C45"/>
    <w:multiLevelType w:val="singleLevel"/>
    <w:tmpl w:val="96834C45"/>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YzFlMzMyYjhjYmE0ZTNjNzMxOTE2ZGQ4ZWFhMzQifQ=="/>
  </w:docVars>
  <w:rsids>
    <w:rsidRoot w:val="00000000"/>
    <w:rsid w:val="204607B7"/>
    <w:rsid w:val="24B97D71"/>
    <w:rsid w:val="2BFC0486"/>
    <w:rsid w:val="2EAB2637"/>
    <w:rsid w:val="306E5034"/>
    <w:rsid w:val="3B190B4B"/>
    <w:rsid w:val="3FEA747C"/>
    <w:rsid w:val="50AF231D"/>
    <w:rsid w:val="74016A64"/>
    <w:rsid w:val="743A5E62"/>
    <w:rsid w:val="79A531C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1806</Words>
  <Characters>1877</Characters>
  <Lines>0</Lines>
  <Paragraphs>0</Paragraphs>
  <TotalTime>27</TotalTime>
  <ScaleCrop>false</ScaleCrop>
  <LinksUpToDate>false</LinksUpToDate>
  <CharactersWithSpaces>1907</CharactersWithSpaces>
  <Application>WPS Office_12.1.0.18196_F1E327BC-269C-435d-A152-05C5408002CA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2022-08-15T08:16:00Z</dcterms:created>
  <dc:creator>Administrator</dc:creator>
  <cp:lastModifiedBy>梧茗紫</cp:lastModifiedBy>
  <cp:lastPrinted>2023-04-20T07:29:00Z</cp:lastPrinted>
  <dcterms:modified xsi:type="dcterms:W3CDTF">2024-09-18T03:22:39Z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2052-12.1.0.18196</vt:lpwstr>
  </property>
  <property fmtid="{D5CDD505-2E9C-101B-9397-08002B2CF9AE}" pid="3" name="ICV">
    <vt:lpwstr>23B8B374B33A4B34B1C5376FCF04B129</vt:lpwstr>
  </property>
</Properties>
</file>