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79B295">
      <w:pPr>
        <w:pStyle w:val="4"/>
        <w:shd w:val="clear" w:color="auto" w:fill="FFFFFF"/>
        <w:spacing w:before="0" w:beforeAutospacing="0" w:after="0" w:afterAutospacing="0" w:line="240" w:lineRule="auto"/>
        <w:jc w:val="center"/>
        <w:rPr>
          <w:rFonts w:hint="eastAsia" w:asciiTheme="majorEastAsia" w:hAnsiTheme="majorEastAsia" w:eastAsiaTheme="majorEastAsia" w:cstheme="majorEastAsia"/>
          <w:b/>
          <w:bCs/>
          <w:color w:val="333333"/>
          <w:sz w:val="48"/>
          <w:szCs w:val="48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333333"/>
          <w:sz w:val="48"/>
          <w:szCs w:val="48"/>
          <w:lang w:eastAsia="zh-CN"/>
        </w:rPr>
        <w:t>金家井乡</w:t>
      </w:r>
      <w:r>
        <w:rPr>
          <w:rFonts w:hint="eastAsia" w:asciiTheme="majorEastAsia" w:hAnsiTheme="majorEastAsia" w:eastAsiaTheme="majorEastAsia" w:cstheme="majorEastAsia"/>
          <w:b/>
          <w:bCs/>
          <w:color w:val="333333"/>
          <w:sz w:val="48"/>
          <w:szCs w:val="48"/>
        </w:rPr>
        <w:t>人民政府</w:t>
      </w:r>
    </w:p>
    <w:p w14:paraId="45798B9B">
      <w:pPr>
        <w:pStyle w:val="4"/>
        <w:shd w:val="clear" w:color="auto" w:fill="FFFFFF"/>
        <w:spacing w:before="0" w:beforeAutospacing="0" w:after="0" w:afterAutospacing="0" w:line="240" w:lineRule="auto"/>
        <w:jc w:val="center"/>
        <w:rPr>
          <w:rFonts w:hint="eastAsia" w:asciiTheme="majorEastAsia" w:hAnsiTheme="majorEastAsia" w:eastAsiaTheme="majorEastAsia" w:cstheme="majorEastAsia"/>
          <w:b/>
          <w:bCs/>
          <w:color w:val="333333"/>
          <w:sz w:val="48"/>
          <w:szCs w:val="48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333333"/>
          <w:sz w:val="48"/>
          <w:szCs w:val="48"/>
        </w:rPr>
        <w:t>重大行政执法决定法制审核制度</w:t>
      </w:r>
    </w:p>
    <w:p w14:paraId="44638D1C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10"/>
          <w:szCs w:val="10"/>
        </w:rPr>
      </w:pPr>
    </w:p>
    <w:p w14:paraId="4B5E5709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第一条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 为了加强对重大行政执法行为的监督，保护公民、法人和其他组织的合法权益，促进依法行政，根据《中华人民共和国行政处罚法》《中华人民共和国行政强制法》《中华人民共和国行政许可法》等法律、法规、规章有关文件的规定，制定本制度。</w:t>
      </w:r>
    </w:p>
    <w:p w14:paraId="12E2FDE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第二条 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本制度所称重大行政执法决定法制审核，是指本单位按照法定程序作出重大行政执法决定之前，由本单位法制员负责对其合法性、适当性进行审核的活动。</w:t>
      </w:r>
    </w:p>
    <w:p w14:paraId="68569ED9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第三条 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本制度所称重大行政执法决定，是指作出行政处罚、行政强制、行政许可等行政执法决定，具有下列情形之一的，应当在作出决定前进行法制审核：</w:t>
      </w:r>
    </w:p>
    <w:p w14:paraId="7F6F2B5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1、对公民处以</w:t>
      </w:r>
      <w:r>
        <w:rPr>
          <w:rFonts w:hint="eastAsia" w:ascii="仿宋" w:hAnsi="仿宋" w:eastAsia="仿宋" w:cs="仿宋"/>
          <w:color w:val="333333"/>
          <w:sz w:val="30"/>
          <w:szCs w:val="30"/>
          <w:lang w:val="en-US" w:eastAsia="zh-CN"/>
        </w:rPr>
        <w:t>1万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元以上的罚款，对法人或其他组织处以</w:t>
      </w:r>
      <w:r>
        <w:rPr>
          <w:rFonts w:hint="eastAsia" w:ascii="仿宋" w:hAnsi="仿宋" w:eastAsia="仿宋" w:cs="仿宋"/>
          <w:color w:val="333333"/>
          <w:sz w:val="30"/>
          <w:szCs w:val="30"/>
          <w:lang w:val="en-US" w:eastAsia="zh-CN"/>
        </w:rPr>
        <w:t>10万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元以上的罚款；</w:t>
      </w:r>
    </w:p>
    <w:p w14:paraId="342FA036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2、没收违法所得或没收非法财</w:t>
      </w:r>
      <w:bookmarkStart w:id="0" w:name="_GoBack"/>
      <w:bookmarkEnd w:id="0"/>
      <w:r>
        <w:rPr>
          <w:rFonts w:hint="eastAsia" w:ascii="仿宋" w:hAnsi="仿宋" w:eastAsia="仿宋" w:cs="仿宋"/>
          <w:color w:val="333333"/>
          <w:sz w:val="30"/>
          <w:szCs w:val="30"/>
        </w:rPr>
        <w:t>物价值相当于第一项规定的数额；</w:t>
      </w:r>
    </w:p>
    <w:p w14:paraId="1DCA1528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3、责令停产停业；</w:t>
      </w:r>
    </w:p>
    <w:p w14:paraId="55746784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4、吊销许可证；</w:t>
      </w:r>
    </w:p>
    <w:p w14:paraId="4ABF1D5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  <w:lang w:val="en-US" w:eastAsia="zh-CN"/>
        </w:rPr>
        <w:t>5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、法律、法规、规章规定应当举行听证的，或者本单位认为需要听证且涉及公共利益的，或者直接涉及申请人与他人之间重大利益关系，申请人、利害关系人要求听证的行政许可决定；</w:t>
      </w:r>
    </w:p>
    <w:p w14:paraId="4346E4F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、其他法律、法规、规章规定应当进行法制审核的。</w:t>
      </w:r>
    </w:p>
    <w:p w14:paraId="3EFF283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第四条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 重大行政执法决定进行法制审核是作出决定前的必经程序，未经法制审核或者审核未通过的，不得作出决定。</w:t>
      </w:r>
    </w:p>
    <w:p w14:paraId="58354D1F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第五条 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案件承办机构或承办人在调（审）查终结后作出行政执法决定前，对符合重大行政执法决定条件的案件和事项应当送法制员进行审核。</w:t>
      </w:r>
    </w:p>
    <w:p w14:paraId="1B94DDAB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第六条 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案件承办机构或承办人在送审时应当提交下列材料：</w:t>
      </w:r>
    </w:p>
    <w:p w14:paraId="7FA5F80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1、重大行政执法决定的调查终结报告；</w:t>
      </w:r>
    </w:p>
    <w:p w14:paraId="38B232D0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2、重大行政执法决定建议或者意见及其情况说明；</w:t>
      </w:r>
    </w:p>
    <w:p w14:paraId="600676C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3、重大行政执法决定书代拟稿；</w:t>
      </w:r>
    </w:p>
    <w:p w14:paraId="2F22EC1C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4、拟作出重大行政执法决定的相关证据资料和依据；</w:t>
      </w:r>
    </w:p>
    <w:p w14:paraId="4B47A566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5、经听证或者专家审查、评估的，还应当提交听证笔录或者审查、评估报告；</w:t>
      </w:r>
    </w:p>
    <w:p w14:paraId="3791E00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6、其他需要提交的材料。</w:t>
      </w:r>
    </w:p>
    <w:p w14:paraId="707095A3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法制员认为提交材料不齐全的，可以要求案件承办机构或承办人在指定时间提交。</w:t>
      </w:r>
    </w:p>
    <w:p w14:paraId="3951DAB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第七条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 重大行政执法决定建议情况说明应当载明以下内容：</w:t>
      </w:r>
    </w:p>
    <w:p w14:paraId="7BDBA782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1、基本事实；</w:t>
      </w:r>
    </w:p>
    <w:p w14:paraId="182716EC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2、适用法律、法规、规章和行政裁量基准的情况；</w:t>
      </w:r>
    </w:p>
    <w:p w14:paraId="577E291C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3、行政执法人员资格情况；</w:t>
      </w:r>
    </w:p>
    <w:p w14:paraId="44A6321D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4、调查取证和听证情况；</w:t>
      </w:r>
    </w:p>
    <w:p w14:paraId="24FB1EE7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5、其他需要说明的情况。</w:t>
      </w:r>
    </w:p>
    <w:p w14:paraId="2E266F2D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第八条</w:t>
      </w:r>
      <w:r>
        <w:rPr>
          <w:rStyle w:val="7"/>
          <w:rFonts w:hint="eastAsia" w:ascii="仿宋" w:hAnsi="仿宋" w:eastAsia="仿宋" w:cs="仿宋"/>
          <w:color w:val="auto"/>
          <w:sz w:val="30"/>
          <w:szCs w:val="30"/>
        </w:rPr>
        <w:t> 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法制员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对于拟作出的重大行政执法决定，仅对提交的书面材料进行审核：</w:t>
      </w:r>
    </w:p>
    <w:p w14:paraId="051B63D0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1、执法主体是否合法，行政执法人员是否具备执法资格；</w:t>
      </w:r>
    </w:p>
    <w:p w14:paraId="08A6750D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2、主要事实是否清楚，证据是否确凿、充分；</w:t>
      </w:r>
    </w:p>
    <w:p w14:paraId="39A8ED7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3、适用法律、法规、规章是否准确，行政裁量基准是否适当；</w:t>
      </w:r>
    </w:p>
    <w:p w14:paraId="29CD1983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4、程序是否合法；</w:t>
      </w:r>
    </w:p>
    <w:p w14:paraId="26C854E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5、是否有超越本机关职权范围或滥用职权的情形；</w:t>
      </w:r>
    </w:p>
    <w:p w14:paraId="2C9CC79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6、行政执法文书是否规范、齐备；</w:t>
      </w:r>
    </w:p>
    <w:p w14:paraId="07CF0AA0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7、违法行为是否涉嫌犯罪需要移送司法机关；</w:t>
      </w:r>
    </w:p>
    <w:p w14:paraId="65A5D6EB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8、其他应当审核的内容。</w:t>
      </w:r>
    </w:p>
    <w:p w14:paraId="07B89D2F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第九条 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法制员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在审核过程中，有权调阅行政执法活动相关材料，必要时可以向当事人进行调查，相关单位和个人应当予以协助配合。</w:t>
      </w:r>
    </w:p>
    <w:p w14:paraId="2D93FCC9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第十条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 法制员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对拟作出的重大行政执法决定进行审核后，根据不同情况，提出相应的书面意见或建议：</w:t>
      </w:r>
    </w:p>
    <w:p w14:paraId="641EC989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1、主要事实清楚、证据确凿、定性准确、程序合法的，提出同意的意见；</w:t>
      </w:r>
    </w:p>
    <w:p w14:paraId="008963DB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2、主要事实不清，证据不足的，提出继续调查或不予作出行政执法决定的意见；</w:t>
      </w:r>
    </w:p>
    <w:p w14:paraId="1D8FBCA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3、定性不准、适用法律不准确和裁量基准不当的，提出变更意见；</w:t>
      </w:r>
    </w:p>
    <w:p w14:paraId="326EF2C1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4、程序不合法的，提出整改的意见；</w:t>
      </w:r>
    </w:p>
    <w:p w14:paraId="0C2DC09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Fonts w:hint="eastAsia" w:ascii="仿宋" w:hAnsi="仿宋" w:eastAsia="仿宋" w:cs="仿宋"/>
          <w:color w:val="333333"/>
          <w:sz w:val="30"/>
          <w:szCs w:val="30"/>
        </w:rPr>
        <w:t>5、超出本机关管辖范围或涉嫌犯罪的，提出移送的意见。</w:t>
      </w:r>
    </w:p>
    <w:p w14:paraId="4388AB95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第十一条</w:t>
      </w:r>
      <w:r>
        <w:rPr>
          <w:rStyle w:val="7"/>
          <w:rFonts w:hint="eastAsia" w:ascii="仿宋" w:hAnsi="仿宋" w:eastAsia="仿宋" w:cs="仿宋"/>
          <w:color w:val="auto"/>
          <w:sz w:val="30"/>
          <w:szCs w:val="30"/>
        </w:rPr>
        <w:t> 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法制员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在收到重大行政执法决定送审材料后，应在七个工作日内审核完毕。案情复杂的经本单位负责人批准可以延长五个工作日。</w:t>
      </w:r>
    </w:p>
    <w:p w14:paraId="05259267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第十二条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 法制员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审核完毕后，应当出具重大行政执法决定法制审核意见。</w:t>
      </w:r>
    </w:p>
    <w:p w14:paraId="6F70424A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第十三条 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案件承办机构或承办人对法制员审核意见和建议应当研究采纳；有异议的应当与法制员协商沟通，经沟通达不成一致意见的，将双方意见一并报送本单位负责人处理。</w:t>
      </w:r>
    </w:p>
    <w:p w14:paraId="5FC4AF3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第十四条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 重大行政执法案件或事项经法制员审核通过后，提交本单位领导集体讨论决定。法制审核未通过的，不得提交领导审批决定。</w:t>
      </w:r>
    </w:p>
    <w:p w14:paraId="503A635E">
      <w:pPr>
        <w:pStyle w:val="4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82"/>
        <w:textAlignment w:val="auto"/>
        <w:rPr>
          <w:rFonts w:hint="eastAsia" w:ascii="仿宋" w:hAnsi="仿宋" w:eastAsia="仿宋" w:cs="仿宋"/>
          <w:color w:val="333333"/>
          <w:sz w:val="30"/>
          <w:szCs w:val="30"/>
        </w:rPr>
      </w:pPr>
      <w:r>
        <w:rPr>
          <w:rStyle w:val="7"/>
          <w:rFonts w:hint="eastAsia" w:ascii="仿宋" w:hAnsi="仿宋" w:eastAsia="仿宋" w:cs="仿宋"/>
          <w:color w:val="333333"/>
          <w:sz w:val="30"/>
          <w:szCs w:val="30"/>
        </w:rPr>
        <w:t>第十五条 </w:t>
      </w:r>
      <w:r>
        <w:rPr>
          <w:rFonts w:hint="eastAsia" w:ascii="仿宋" w:hAnsi="仿宋" w:eastAsia="仿宋" w:cs="仿宋"/>
          <w:color w:val="333333"/>
          <w:sz w:val="30"/>
          <w:szCs w:val="30"/>
        </w:rPr>
        <w:t>本制度自印发之日起执行。</w:t>
      </w:r>
    </w:p>
    <w:p w14:paraId="1F0B7F5C">
      <w:pPr>
        <w:spacing w:line="220" w:lineRule="atLeast"/>
      </w:pPr>
    </w:p>
    <w:p w14:paraId="64A4A2FB">
      <w:pPr>
        <w:spacing w:line="220" w:lineRule="atLeast"/>
      </w:pPr>
    </w:p>
    <w:p w14:paraId="5A64FCC8">
      <w:pPr>
        <w:spacing w:line="220" w:lineRule="atLeast"/>
        <w:jc w:val="right"/>
        <w:rPr>
          <w:rFonts w:hint="default" w:ascii="仿宋" w:hAnsi="仿宋" w:eastAsia="仿宋" w:cs="仿宋"/>
          <w:color w:val="333333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333333"/>
          <w:sz w:val="30"/>
          <w:szCs w:val="30"/>
          <w:lang w:val="en-US" w:eastAsia="zh-CN" w:bidi="ar-SA"/>
        </w:rPr>
        <w:t>2022年3月15日</w:t>
      </w:r>
    </w:p>
    <w:sectPr>
      <w:footerReference r:id="rId5" w:type="default"/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E68637F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935173">
                          <w:pPr>
                            <w:pStyle w:val="2"/>
                            <w:rPr>
                              <w:rFonts w:hint="eastAsia" w:eastAsia="微软雅黑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935173">
                    <w:pPr>
                      <w:pStyle w:val="2"/>
                      <w:rPr>
                        <w:rFonts w:hint="eastAsia" w:eastAsia="微软雅黑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wZDIxODYyMjVkZmQ2ZGI2NzdjYTY5NGI4ZWUyYTEifQ=="/>
  </w:docVars>
  <w:rsids>
    <w:rsidRoot w:val="00D31D50"/>
    <w:rsid w:val="00122BB8"/>
    <w:rsid w:val="00323B43"/>
    <w:rsid w:val="003D37D8"/>
    <w:rsid w:val="00426133"/>
    <w:rsid w:val="004358AB"/>
    <w:rsid w:val="005A0F49"/>
    <w:rsid w:val="007A28E5"/>
    <w:rsid w:val="008B7726"/>
    <w:rsid w:val="00C43131"/>
    <w:rsid w:val="00D31D50"/>
    <w:rsid w:val="04ED543E"/>
    <w:rsid w:val="0AAC334B"/>
    <w:rsid w:val="10705FD3"/>
    <w:rsid w:val="1A432C74"/>
    <w:rsid w:val="1FC009DE"/>
    <w:rsid w:val="31E57E30"/>
    <w:rsid w:val="387F37D3"/>
    <w:rsid w:val="5348322A"/>
    <w:rsid w:val="59CE7D0B"/>
    <w:rsid w:val="5A891E54"/>
    <w:rsid w:val="72E849A6"/>
    <w:rsid w:val="78D04123"/>
    <w:rsid w:val="7ADE3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1540</Words>
  <Characters>1551</Characters>
  <Lines>12</Lines>
  <Paragraphs>3</Paragraphs>
  <TotalTime>17</TotalTime>
  <ScaleCrop>false</ScaleCrop>
  <LinksUpToDate>false</LinksUpToDate>
  <CharactersWithSpaces>1566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竹仗徐行</cp:lastModifiedBy>
  <cp:lastPrinted>2020-07-28T07:23:00Z</cp:lastPrinted>
  <dcterms:modified xsi:type="dcterms:W3CDTF">2024-09-12T05:08:34Z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7A1CFC8F388B44BB8999EE3C7E819C29</vt:lpwstr>
  </property>
</Properties>
</file>