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C68F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b/>
          <w:bCs/>
          <w:i w:val="0"/>
          <w:iCs w:val="0"/>
          <w:caps w:val="0"/>
          <w:color w:val="auto"/>
          <w:spacing w:val="0"/>
          <w:sz w:val="45"/>
          <w:szCs w:val="45"/>
          <w:lang w:eastAsia="zh-CN"/>
        </w:rPr>
      </w:pPr>
      <w:r>
        <w:rPr>
          <w:rFonts w:hint="eastAsia"/>
          <w:b/>
          <w:bCs/>
          <w:i w:val="0"/>
          <w:iCs w:val="0"/>
          <w:caps w:val="0"/>
          <w:color w:val="auto"/>
          <w:spacing w:val="0"/>
          <w:sz w:val="45"/>
          <w:szCs w:val="45"/>
          <w:lang w:eastAsia="zh-CN"/>
        </w:rPr>
        <w:t>金家井乡人民政府</w:t>
      </w:r>
    </w:p>
    <w:p w14:paraId="216CF3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b/>
          <w:bCs/>
          <w:color w:val="3D3D3D"/>
          <w:sz w:val="24"/>
          <w:szCs w:val="24"/>
        </w:rPr>
      </w:pPr>
      <w:r>
        <w:rPr>
          <w:b/>
          <w:bCs/>
          <w:i w:val="0"/>
          <w:iCs w:val="0"/>
          <w:caps w:val="0"/>
          <w:color w:val="auto"/>
          <w:spacing w:val="0"/>
          <w:sz w:val="45"/>
          <w:szCs w:val="45"/>
        </w:rPr>
        <w:t>重大行政处罚决定备案制度实施办法</w:t>
      </w:r>
    </w:p>
    <w:p w14:paraId="04F8DB0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26" w:afterAutospacing="0" w:line="400" w:lineRule="exact"/>
        <w:ind w:right="0" w:firstLine="640" w:firstLineChars="200"/>
        <w:jc w:val="both"/>
        <w:textAlignment w:val="auto"/>
        <w:rPr>
          <w:rFonts w:hint="eastAsia" w:ascii="仿宋" w:hAnsi="仿宋" w:eastAsia="仿宋" w:cs="仿宋"/>
          <w:i w:val="0"/>
          <w:iCs w:val="0"/>
          <w:caps w:val="0"/>
          <w:color w:val="3D3D3D"/>
          <w:spacing w:val="0"/>
          <w:sz w:val="32"/>
          <w:szCs w:val="32"/>
        </w:rPr>
      </w:pPr>
    </w:p>
    <w:p w14:paraId="55A21202">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为了加强对行政执法工作的监督，保证行政处罚决定的合法与规范，根据有关法律</w:t>
      </w:r>
      <w:bookmarkStart w:id="0" w:name="_GoBack"/>
      <w:bookmarkEnd w:id="0"/>
      <w:r>
        <w:rPr>
          <w:rFonts w:hint="eastAsia" w:ascii="仿宋" w:hAnsi="仿宋" w:eastAsia="仿宋" w:cs="仿宋"/>
          <w:sz w:val="30"/>
          <w:szCs w:val="30"/>
        </w:rPr>
        <w:t>、法规的规定，制定本办法。</w:t>
      </w:r>
    </w:p>
    <w:p w14:paraId="49D9864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一、本办法所称的重大行政处罚决定是指本</w:t>
      </w:r>
      <w:r>
        <w:rPr>
          <w:rFonts w:hint="eastAsia" w:ascii="仿宋" w:hAnsi="仿宋" w:eastAsia="仿宋" w:cs="仿宋"/>
          <w:sz w:val="30"/>
          <w:szCs w:val="30"/>
          <w:lang w:eastAsia="zh-CN"/>
        </w:rPr>
        <w:t>乡</w:t>
      </w:r>
      <w:r>
        <w:rPr>
          <w:rFonts w:hint="eastAsia" w:ascii="仿宋" w:hAnsi="仿宋" w:eastAsia="仿宋" w:cs="仿宋"/>
          <w:sz w:val="30"/>
          <w:szCs w:val="30"/>
        </w:rPr>
        <w:t>人民政府及所属各部门根据法律、法规、规章作出的下列行政处罚决定：</w:t>
      </w:r>
    </w:p>
    <w:p w14:paraId="6F563492">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(一)对公民处以1万元以上的罚款，对法人或其他组织处以10万元以上的罚款;</w:t>
      </w:r>
    </w:p>
    <w:p w14:paraId="320E464F">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(二)没收违法所得或没收非法财物价值相当于第一项规定的数额;</w:t>
      </w:r>
    </w:p>
    <w:p w14:paraId="01C565E2">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(三)责令停产停业;</w:t>
      </w:r>
    </w:p>
    <w:p w14:paraId="7A38D00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(四)吊销许可证或营业执照;</w:t>
      </w:r>
    </w:p>
    <w:p w14:paraId="1036BBF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(五)10日以上的行政拘留。</w:t>
      </w:r>
    </w:p>
    <w:p w14:paraId="7277340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二、作出重大行政处罚决定的部门（以下简称备案单位）应当在重大行政处罚决定作出后</w:t>
      </w:r>
      <w:r>
        <w:rPr>
          <w:rFonts w:hint="eastAsia" w:ascii="仿宋" w:hAnsi="仿宋" w:eastAsia="仿宋" w:cs="仿宋"/>
          <w:sz w:val="30"/>
          <w:szCs w:val="30"/>
          <w:lang w:val="en-US" w:eastAsia="zh-CN"/>
        </w:rPr>
        <w:t>15</w:t>
      </w:r>
      <w:r>
        <w:rPr>
          <w:rFonts w:hint="eastAsia" w:ascii="仿宋" w:hAnsi="仿宋" w:eastAsia="仿宋" w:cs="仿宋"/>
          <w:sz w:val="30"/>
          <w:szCs w:val="30"/>
        </w:rPr>
        <w:t>日内依照下列程序报送备案：</w:t>
      </w:r>
    </w:p>
    <w:p w14:paraId="02EA036F">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（一）备案单位为本</w:t>
      </w:r>
      <w:r>
        <w:rPr>
          <w:rFonts w:hint="eastAsia" w:ascii="仿宋" w:hAnsi="仿宋" w:eastAsia="仿宋" w:cs="仿宋"/>
          <w:sz w:val="30"/>
          <w:szCs w:val="30"/>
          <w:lang w:eastAsia="zh-CN"/>
        </w:rPr>
        <w:t>乡</w:t>
      </w:r>
      <w:r>
        <w:rPr>
          <w:rFonts w:hint="eastAsia" w:ascii="仿宋" w:hAnsi="仿宋" w:eastAsia="仿宋" w:cs="仿宋"/>
          <w:sz w:val="30"/>
          <w:szCs w:val="30"/>
        </w:rPr>
        <w:t>直部门的，报送本</w:t>
      </w:r>
      <w:r>
        <w:rPr>
          <w:rFonts w:hint="eastAsia" w:ascii="仿宋" w:hAnsi="仿宋" w:eastAsia="仿宋" w:cs="仿宋"/>
          <w:sz w:val="30"/>
          <w:szCs w:val="30"/>
          <w:lang w:eastAsia="zh-CN"/>
        </w:rPr>
        <w:t>乡</w:t>
      </w:r>
      <w:r>
        <w:rPr>
          <w:rFonts w:hint="eastAsia" w:ascii="仿宋" w:hAnsi="仿宋" w:eastAsia="仿宋" w:cs="仿宋"/>
          <w:sz w:val="30"/>
          <w:szCs w:val="30"/>
        </w:rPr>
        <w:t>人民政府法制机构备案；</w:t>
      </w:r>
    </w:p>
    <w:p w14:paraId="5E493CA9">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（二）备案单位为本</w:t>
      </w:r>
      <w:r>
        <w:rPr>
          <w:rFonts w:hint="eastAsia" w:ascii="仿宋" w:hAnsi="仿宋" w:eastAsia="仿宋" w:cs="仿宋"/>
          <w:sz w:val="30"/>
          <w:szCs w:val="30"/>
          <w:lang w:eastAsia="zh-CN"/>
        </w:rPr>
        <w:t>乡</w:t>
      </w:r>
      <w:r>
        <w:rPr>
          <w:rFonts w:hint="eastAsia" w:ascii="仿宋" w:hAnsi="仿宋" w:eastAsia="仿宋" w:cs="仿宋"/>
          <w:sz w:val="30"/>
          <w:szCs w:val="30"/>
        </w:rPr>
        <w:t>人民政府的，报送市人民政府法制机构备案。</w:t>
      </w:r>
    </w:p>
    <w:p w14:paraId="4D4DA45F">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三）依法受委托组织在委托范围内，以委托行政机关名义实施的行政处罚，应当报送备案的，由委托行政机关按规定报送备案。法律、法规授权的具有管理公共事务职能的组织在法定授权范围内实施的行政处罚应当报送备案的，由该组织依据规定报送备案。</w:t>
      </w:r>
    </w:p>
    <w:p w14:paraId="666D044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（四）备案单位除按上述规定备案外，还应当同时报送上一级行政主管机关备案。</w:t>
      </w:r>
    </w:p>
    <w:p w14:paraId="77D456D3">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三、备案单位将重大行政处罚决定报送备案时，应当提交备案报告和相关的行政处罚决定书１式２份，并附上有关的材料（统称备案件）。</w:t>
      </w:r>
    </w:p>
    <w:p w14:paraId="46514D0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四、</w:t>
      </w:r>
      <w:r>
        <w:rPr>
          <w:rFonts w:hint="eastAsia" w:ascii="仿宋" w:hAnsi="仿宋" w:eastAsia="仿宋" w:cs="仿宋"/>
          <w:sz w:val="30"/>
          <w:szCs w:val="30"/>
          <w:lang w:eastAsia="zh-CN"/>
        </w:rPr>
        <w:t>乡</w:t>
      </w:r>
      <w:r>
        <w:rPr>
          <w:rFonts w:hint="eastAsia" w:ascii="仿宋" w:hAnsi="仿宋" w:eastAsia="仿宋" w:cs="仿宋"/>
          <w:sz w:val="30"/>
          <w:szCs w:val="30"/>
        </w:rPr>
        <w:t>人民政府的法制机构（以下简称审查机构）具体负责重大行政处罚决定的备案审查和管理工作。</w:t>
      </w:r>
    </w:p>
    <w:p w14:paraId="02CD4910">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五、审查机构应当在收到备案件之日起</w:t>
      </w:r>
      <w:r>
        <w:rPr>
          <w:rFonts w:hint="eastAsia" w:ascii="仿宋" w:hAnsi="仿宋" w:eastAsia="仿宋" w:cs="仿宋"/>
          <w:sz w:val="30"/>
          <w:szCs w:val="30"/>
          <w:lang w:eastAsia="zh-CN"/>
        </w:rPr>
        <w:t>15</w:t>
      </w:r>
      <w:r>
        <w:rPr>
          <w:rFonts w:hint="eastAsia" w:ascii="仿宋" w:hAnsi="仿宋" w:eastAsia="仿宋" w:cs="仿宋"/>
          <w:sz w:val="30"/>
          <w:szCs w:val="30"/>
        </w:rPr>
        <w:t>日内进行审查，</w:t>
      </w:r>
    </w:p>
    <w:p w14:paraId="1BDD2E7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审查的事项主要是：</w:t>
      </w:r>
    </w:p>
    <w:p w14:paraId="75551A02">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（一）实施行政处罚的主体是否合法；</w:t>
      </w:r>
    </w:p>
    <w:p w14:paraId="6A13AE51">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（二）事实是否清楚，主要证据是否确实、充分；</w:t>
      </w:r>
    </w:p>
    <w:p w14:paraId="49E022D8">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（三）程序是否合法；</w:t>
      </w:r>
    </w:p>
    <w:p w14:paraId="27696A28">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（四）适用法律、法规、规章依据是否正确；</w:t>
      </w:r>
    </w:p>
    <w:p w14:paraId="1E1A6A5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（五）使用自由裁量权是否恰当。</w:t>
      </w:r>
    </w:p>
    <w:p w14:paraId="7BF62D81">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六、审查机构在对备案件的审查过程中，根据情况可以调阅备案单位的案卷材料，备案单位不得拒绝和拖延。</w:t>
      </w:r>
    </w:p>
    <w:p w14:paraId="446B8AB7">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七、审查机构在对备案件的审查过程中，认为需要有关部门提出意见或者协助审查的，有关部门应当予以办理。</w:t>
      </w:r>
    </w:p>
    <w:p w14:paraId="7D8DF97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八、重大行政处罚决定经审查发现有违法或者不当的，审查机构可以责成作出重大行政处罚决定的部门限期纠正或者撤销。备案单位应当在接到审查机构的有关处理决定或者意见之日起</w:t>
      </w:r>
      <w:r>
        <w:rPr>
          <w:rFonts w:hint="eastAsia" w:ascii="仿宋" w:hAnsi="仿宋" w:eastAsia="仿宋" w:cs="仿宋"/>
          <w:sz w:val="30"/>
          <w:szCs w:val="30"/>
          <w:lang w:val="en-US" w:eastAsia="zh-CN"/>
        </w:rPr>
        <w:t>30</w:t>
      </w:r>
      <w:r>
        <w:rPr>
          <w:rFonts w:hint="eastAsia" w:ascii="仿宋" w:hAnsi="仿宋" w:eastAsia="仿宋" w:cs="仿宋"/>
          <w:sz w:val="30"/>
          <w:szCs w:val="30"/>
        </w:rPr>
        <w:t>日内，将办理结果报告审查机构。</w:t>
      </w:r>
    </w:p>
    <w:p w14:paraId="269A7067">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九、对不按规定报送备案件或者无故不按本办法第八条规定执行的，依据有关行政执法监督规定处理。</w:t>
      </w:r>
    </w:p>
    <w:p w14:paraId="6486A4B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0"/>
          <w:szCs w:val="30"/>
          <w:shd w:val="clear" w:color="auto" w:fill="auto"/>
          <w14:textFill>
            <w14:solidFill>
              <w14:schemeClr w14:val="tx1"/>
            </w14:solidFill>
          </w14:textFill>
        </w:rPr>
      </w:pPr>
      <w:r>
        <w:rPr>
          <w:rFonts w:hint="eastAsia" w:ascii="仿宋" w:hAnsi="仿宋" w:eastAsia="仿宋" w:cs="仿宋"/>
          <w:sz w:val="30"/>
          <w:szCs w:val="30"/>
        </w:rPr>
        <w:t> 十、本办法由</w:t>
      </w:r>
      <w:r>
        <w:rPr>
          <w:rFonts w:hint="eastAsia" w:ascii="仿宋" w:hAnsi="仿宋" w:eastAsia="仿宋" w:cs="仿宋"/>
          <w:sz w:val="30"/>
          <w:szCs w:val="30"/>
          <w:lang w:eastAsia="zh-CN"/>
        </w:rPr>
        <w:t>金家井乡</w:t>
      </w:r>
      <w:r>
        <w:rPr>
          <w:rFonts w:hint="eastAsia" w:ascii="仿宋" w:hAnsi="仿宋" w:eastAsia="仿宋" w:cs="仿宋"/>
          <w:sz w:val="30"/>
          <w:szCs w:val="30"/>
        </w:rPr>
        <w:t>人民政府负责解释</w:t>
      </w:r>
      <w:r>
        <w:rPr>
          <w:rFonts w:hint="eastAsia" w:ascii="仿宋" w:hAnsi="仿宋" w:eastAsia="仿宋" w:cs="仿宋"/>
          <w:sz w:val="30"/>
          <w:szCs w:val="30"/>
          <w:lang w:eastAsia="zh-CN"/>
        </w:rPr>
        <w:t>，</w:t>
      </w:r>
      <w:r>
        <w:rPr>
          <w:rFonts w:hint="eastAsia" w:ascii="仿宋" w:hAnsi="仿宋" w:eastAsia="仿宋" w:cs="仿宋"/>
          <w:i w:val="0"/>
          <w:iCs w:val="0"/>
          <w:caps w:val="0"/>
          <w:color w:val="000000" w:themeColor="text1"/>
          <w:spacing w:val="0"/>
          <w:sz w:val="30"/>
          <w:szCs w:val="30"/>
          <w:shd w:val="clear" w:color="auto" w:fill="auto"/>
          <w14:textFill>
            <w14:solidFill>
              <w14:schemeClr w14:val="tx1"/>
            </w14:solidFill>
          </w14:textFill>
        </w:rPr>
        <w:t>自发布之日起施行。</w:t>
      </w:r>
    </w:p>
    <w:p w14:paraId="114362A0">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p w14:paraId="3B1E5507">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p w14:paraId="51373A76">
      <w:pPr>
        <w:keepNext w:val="0"/>
        <w:keepLines w:val="0"/>
        <w:pageBreakBefore w:val="0"/>
        <w:widowControl w:val="0"/>
        <w:kinsoku/>
        <w:wordWrap/>
        <w:overflowPunct/>
        <w:topLinePunct w:val="0"/>
        <w:autoSpaceDE/>
        <w:autoSpaceDN/>
        <w:bidi w:val="0"/>
        <w:adjustRightInd/>
        <w:snapToGrid/>
        <w:ind w:firstLine="600" w:firstLineChars="200"/>
        <w:jc w:val="right"/>
        <w:textAlignment w:val="auto"/>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2022年3月15日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wZDIxODYyMjVkZmQ2ZGI2NzdjYTY5NGI4ZWUyYTEifQ=="/>
  </w:docVars>
  <w:rsids>
    <w:rsidRoot w:val="00000000"/>
    <w:rsid w:val="2C37108B"/>
    <w:rsid w:val="491E2E86"/>
    <w:rsid w:val="4CC156A1"/>
    <w:rsid w:val="53F22E30"/>
    <w:rsid w:val="5A087635"/>
    <w:rsid w:val="5E5E3C40"/>
    <w:rsid w:val="66D869B9"/>
    <w:rsid w:val="78235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autoRedefine/>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987</Words>
  <Characters>997</Characters>
  <Lines>0</Lines>
  <Paragraphs>0</Paragraphs>
  <TotalTime>5</TotalTime>
  <ScaleCrop>false</ScaleCrop>
  <LinksUpToDate>false</LinksUpToDate>
  <CharactersWithSpaces>1000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2022-12-13T03:30:00Z</dcterms:created>
  <dc:creator>Administrator</dc:creator>
  <cp:lastModifiedBy>竹仗徐行</cp:lastModifiedBy>
  <cp:lastPrinted>2023-04-20T08:39:00Z</cp:lastPrinted>
  <dcterms:modified xsi:type="dcterms:W3CDTF">2024-09-12T05:17:31Z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38DF3F77212B45518FFB79F1AD77F9F0_13</vt:lpwstr>
  </property>
</Properties>
</file>