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A4BA3" w14:textId="77777777" w:rsidR="00DF292E" w:rsidRDefault="00DF292E" w:rsidP="00DF292E">
      <w:pPr>
        <w:spacing w:line="634" w:lineRule="atLeast"/>
        <w:ind w:firstLine="880"/>
        <w:jc w:val="center"/>
        <w:rPr>
          <w:rStyle w:val="Char"/>
          <w:rFonts w:hint="eastAsia"/>
          <w:sz w:val="44"/>
          <w:shd w:val="solid" w:color="FFFFFF" w:fill="auto"/>
        </w:rPr>
      </w:pPr>
      <w:r>
        <w:rPr>
          <w:rStyle w:val="Char"/>
          <w:rFonts w:hint="eastAsia"/>
          <w:sz w:val="44"/>
          <w:shd w:val="solid" w:color="FFFFFF" w:fill="auto"/>
        </w:rPr>
        <w:t>涞源县行政审批局</w:t>
      </w:r>
    </w:p>
    <w:p w14:paraId="28E46097" w14:textId="77777777" w:rsidR="00DF292E" w:rsidRDefault="00DF292E" w:rsidP="00DF292E">
      <w:pPr>
        <w:spacing w:line="634" w:lineRule="atLeast"/>
        <w:ind w:firstLine="880"/>
        <w:jc w:val="center"/>
        <w:rPr>
          <w:rStyle w:val="Char"/>
          <w:rFonts w:hint="eastAsia"/>
          <w:sz w:val="44"/>
          <w:shd w:val="solid" w:color="FFFFFF" w:fill="auto"/>
        </w:rPr>
      </w:pPr>
      <w:r>
        <w:rPr>
          <w:rStyle w:val="Char"/>
          <w:rFonts w:hint="eastAsia"/>
          <w:sz w:val="44"/>
          <w:shd w:val="solid" w:color="FFFFFF" w:fill="auto"/>
        </w:rPr>
        <w:t>重大行政执法决定法制审核办法</w:t>
      </w:r>
    </w:p>
    <w:p w14:paraId="5C5A596B" w14:textId="77777777" w:rsidR="00DF292E" w:rsidRDefault="00DF292E" w:rsidP="00DF292E">
      <w:pPr>
        <w:spacing w:line="457" w:lineRule="atLeast"/>
        <w:ind w:firstLine="880"/>
        <w:jc w:val="center"/>
        <w:rPr>
          <w:rStyle w:val="Char"/>
          <w:rFonts w:hint="eastAsia"/>
          <w:sz w:val="44"/>
          <w:shd w:val="solid" w:color="FFFFFF" w:fill="auto"/>
        </w:rPr>
      </w:pPr>
    </w:p>
    <w:p w14:paraId="1125528A"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宋体" w:hAnsi="宋体" w:hint="eastAsia"/>
          <w:b/>
          <w:sz w:val="32"/>
          <w:shd w:val="solid" w:color="FFFFFF" w:fill="auto"/>
        </w:rPr>
        <w:t>第一条</w:t>
      </w:r>
      <w:r>
        <w:rPr>
          <w:rFonts w:ascii="仿宋_GB2312" w:eastAsia="仿宋_GB2312" w:hAnsi="仿宋_GB2312" w:hint="eastAsia"/>
          <w:sz w:val="32"/>
          <w:shd w:val="solid" w:color="FFFFFF" w:fill="auto"/>
        </w:rPr>
        <w:t xml:space="preserve"> 为了加强对重大行政执法行为的监督，保护公民、法人和其他组织的合法权益，促进行政机关依法行政，根据《中华人民共和国行政许可法》和有关法律、法规、规章的规定，结合我局实际，制定本办法。</w:t>
      </w:r>
    </w:p>
    <w:p w14:paraId="5FDC247D"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宋体" w:hAnsi="宋体" w:hint="eastAsia"/>
          <w:b/>
          <w:sz w:val="32"/>
          <w:shd w:val="solid" w:color="FFFFFF" w:fill="auto"/>
        </w:rPr>
        <w:t>第二条</w:t>
      </w:r>
      <w:r>
        <w:rPr>
          <w:rFonts w:ascii="仿宋_GB2312" w:eastAsia="仿宋_GB2312" w:hAnsi="仿宋_GB2312" w:hint="eastAsia"/>
          <w:sz w:val="32"/>
          <w:shd w:val="solid" w:color="FFFFFF" w:fill="auto"/>
        </w:rPr>
        <w:t xml:space="preserve"> 本办法所称重大行政执法决定法制审核，是指涞源县行政</w:t>
      </w:r>
      <w:proofErr w:type="gramStart"/>
      <w:r>
        <w:rPr>
          <w:rFonts w:ascii="仿宋_GB2312" w:eastAsia="仿宋_GB2312" w:hAnsi="仿宋_GB2312" w:hint="eastAsia"/>
          <w:sz w:val="32"/>
          <w:shd w:val="solid" w:color="FFFFFF" w:fill="auto"/>
        </w:rPr>
        <w:t>审批局</w:t>
      </w:r>
      <w:proofErr w:type="gramEnd"/>
      <w:r>
        <w:rPr>
          <w:rFonts w:ascii="仿宋_GB2312" w:eastAsia="仿宋_GB2312" w:hAnsi="仿宋_GB2312" w:hint="eastAsia"/>
          <w:sz w:val="32"/>
          <w:shd w:val="solid" w:color="FFFFFF" w:fill="auto"/>
        </w:rPr>
        <w:t>在</w:t>
      </w:r>
      <w:proofErr w:type="gramStart"/>
      <w:r>
        <w:rPr>
          <w:rFonts w:ascii="仿宋_GB2312" w:eastAsia="仿宋_GB2312" w:hAnsi="仿宋_GB2312" w:hint="eastAsia"/>
          <w:sz w:val="32"/>
          <w:shd w:val="solid" w:color="FFFFFF" w:fill="auto"/>
        </w:rPr>
        <w:t>作出</w:t>
      </w:r>
      <w:proofErr w:type="gramEnd"/>
      <w:r>
        <w:rPr>
          <w:rFonts w:ascii="仿宋_GB2312" w:eastAsia="仿宋_GB2312" w:hAnsi="仿宋_GB2312" w:hint="eastAsia"/>
          <w:sz w:val="32"/>
          <w:shd w:val="solid" w:color="FFFFFF" w:fill="auto"/>
        </w:rPr>
        <w:t>重大行政执法决定之前，由政策法规股及法制审核人员对其合法性、适当性进行审核的活动。</w:t>
      </w:r>
    </w:p>
    <w:p w14:paraId="1B70BDA2"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宋体" w:hAnsi="宋体" w:hint="eastAsia"/>
          <w:b/>
          <w:sz w:val="32"/>
          <w:shd w:val="solid" w:color="FFFFFF" w:fill="auto"/>
        </w:rPr>
        <w:t>第三条</w:t>
      </w:r>
      <w:r>
        <w:rPr>
          <w:rFonts w:ascii="仿宋_GB2312" w:eastAsia="仿宋_GB2312" w:hAnsi="仿宋_GB2312" w:hint="eastAsia"/>
          <w:sz w:val="32"/>
          <w:shd w:val="solid" w:color="FFFFFF" w:fill="auto"/>
        </w:rPr>
        <w:t xml:space="preserve"> 政策法规股负责重大执法决定法制审核工作的监督检查和业务指导。</w:t>
      </w:r>
    </w:p>
    <w:p w14:paraId="4F27AABF"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宋体" w:hAnsi="宋体" w:hint="eastAsia"/>
          <w:b/>
          <w:sz w:val="32"/>
          <w:shd w:val="solid" w:color="FFFFFF" w:fill="auto"/>
        </w:rPr>
        <w:t>第四条</w:t>
      </w:r>
      <w:r>
        <w:rPr>
          <w:rFonts w:ascii="仿宋_GB2312" w:eastAsia="仿宋_GB2312" w:hAnsi="仿宋_GB2312" w:hint="eastAsia"/>
          <w:sz w:val="32"/>
          <w:shd w:val="solid" w:color="FFFFFF" w:fill="auto"/>
        </w:rPr>
        <w:t xml:space="preserve"> </w:t>
      </w:r>
      <w:proofErr w:type="gramStart"/>
      <w:r>
        <w:rPr>
          <w:rFonts w:ascii="仿宋_GB2312" w:eastAsia="仿宋_GB2312" w:hAnsi="仿宋_GB2312" w:hint="eastAsia"/>
          <w:sz w:val="32"/>
          <w:shd w:val="solid" w:color="FFFFFF" w:fill="auto"/>
        </w:rPr>
        <w:t>作出</w:t>
      </w:r>
      <w:proofErr w:type="gramEnd"/>
      <w:r>
        <w:rPr>
          <w:rFonts w:ascii="仿宋_GB2312" w:eastAsia="仿宋_GB2312" w:hAnsi="仿宋_GB2312" w:hint="eastAsia"/>
          <w:sz w:val="32"/>
          <w:shd w:val="solid" w:color="FFFFFF" w:fill="auto"/>
        </w:rPr>
        <w:t>行政许可的行政执法决定，具有下列情形之一的，应当在</w:t>
      </w:r>
      <w:proofErr w:type="gramStart"/>
      <w:r>
        <w:rPr>
          <w:rFonts w:ascii="仿宋_GB2312" w:eastAsia="仿宋_GB2312" w:hAnsi="仿宋_GB2312" w:hint="eastAsia"/>
          <w:sz w:val="32"/>
          <w:shd w:val="solid" w:color="FFFFFF" w:fill="auto"/>
        </w:rPr>
        <w:t>作出</w:t>
      </w:r>
      <w:proofErr w:type="gramEnd"/>
      <w:r>
        <w:rPr>
          <w:rFonts w:ascii="仿宋_GB2312" w:eastAsia="仿宋_GB2312" w:hAnsi="仿宋_GB2312" w:hint="eastAsia"/>
          <w:sz w:val="32"/>
          <w:shd w:val="solid" w:color="FFFFFF" w:fill="auto"/>
        </w:rPr>
        <w:t>决定前进行法制审核：</w:t>
      </w:r>
    </w:p>
    <w:p w14:paraId="3FCE3262"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（一）涉及重大国家利益和公共利益的事项；</w:t>
      </w:r>
    </w:p>
    <w:p w14:paraId="646FC100"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（二）可能造成重大社会影响或引发社会风险的；</w:t>
      </w:r>
    </w:p>
    <w:p w14:paraId="2E4C1051"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（三）直接关系行政管理相对人或他人重大权益的；</w:t>
      </w:r>
    </w:p>
    <w:p w14:paraId="371ABBCF"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（四）需经听证、评审和评估程序</w:t>
      </w:r>
      <w:proofErr w:type="gramStart"/>
      <w:r>
        <w:rPr>
          <w:rFonts w:ascii="仿宋_GB2312" w:eastAsia="仿宋_GB2312" w:hAnsi="仿宋_GB2312" w:hint="eastAsia"/>
          <w:sz w:val="32"/>
          <w:shd w:val="solid" w:color="FFFFFF" w:fill="auto"/>
        </w:rPr>
        <w:t>作出</w:t>
      </w:r>
      <w:proofErr w:type="gramEnd"/>
      <w:r>
        <w:rPr>
          <w:rFonts w:ascii="仿宋_GB2312" w:eastAsia="仿宋_GB2312" w:hAnsi="仿宋_GB2312" w:hint="eastAsia"/>
          <w:sz w:val="32"/>
          <w:shd w:val="solid" w:color="FFFFFF" w:fill="auto"/>
        </w:rPr>
        <w:t>行政执法决定的；</w:t>
      </w:r>
    </w:p>
    <w:p w14:paraId="17A3B983"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（五）审批事项情况疑难复杂，涉及多个法律关系的；</w:t>
      </w:r>
    </w:p>
    <w:p w14:paraId="7F108ABD"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（六）其他法律、法规、规章规定应当进行法制审核的。</w:t>
      </w:r>
    </w:p>
    <w:p w14:paraId="38A75EAF"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宋体" w:hAnsi="宋体" w:hint="eastAsia"/>
          <w:b/>
          <w:sz w:val="32"/>
          <w:shd w:val="solid" w:color="FFFFFF" w:fill="auto"/>
        </w:rPr>
        <w:t>第五条</w:t>
      </w:r>
      <w:r>
        <w:rPr>
          <w:rFonts w:ascii="仿宋_GB2312" w:eastAsia="仿宋_GB2312" w:hAnsi="仿宋_GB2312" w:hint="eastAsia"/>
          <w:sz w:val="32"/>
          <w:shd w:val="solid" w:color="FFFFFF" w:fill="auto"/>
        </w:rPr>
        <w:t xml:space="preserve"> 重大行政执法决定进行法制审核是</w:t>
      </w:r>
      <w:proofErr w:type="gramStart"/>
      <w:r>
        <w:rPr>
          <w:rFonts w:ascii="仿宋_GB2312" w:eastAsia="仿宋_GB2312" w:hAnsi="仿宋_GB2312" w:hint="eastAsia"/>
          <w:sz w:val="32"/>
          <w:shd w:val="solid" w:color="FFFFFF" w:fill="auto"/>
        </w:rPr>
        <w:t>作出</w:t>
      </w:r>
      <w:proofErr w:type="gramEnd"/>
      <w:r>
        <w:rPr>
          <w:rFonts w:ascii="仿宋_GB2312" w:eastAsia="仿宋_GB2312" w:hAnsi="仿宋_GB2312" w:hint="eastAsia"/>
          <w:sz w:val="32"/>
          <w:shd w:val="solid" w:color="FFFFFF" w:fill="auto"/>
        </w:rPr>
        <w:t>审批决定前的必经程序，未经审核的，不得</w:t>
      </w:r>
      <w:proofErr w:type="gramStart"/>
      <w:r>
        <w:rPr>
          <w:rFonts w:ascii="仿宋_GB2312" w:eastAsia="仿宋_GB2312" w:hAnsi="仿宋_GB2312" w:hint="eastAsia"/>
          <w:sz w:val="32"/>
          <w:shd w:val="solid" w:color="FFFFFF" w:fill="auto"/>
        </w:rPr>
        <w:t>作出</w:t>
      </w:r>
      <w:proofErr w:type="gramEnd"/>
      <w:r>
        <w:rPr>
          <w:rFonts w:ascii="仿宋_GB2312" w:eastAsia="仿宋_GB2312" w:hAnsi="仿宋_GB2312" w:hint="eastAsia"/>
          <w:sz w:val="32"/>
          <w:shd w:val="solid" w:color="FFFFFF" w:fill="auto"/>
        </w:rPr>
        <w:t>行政执法决定。</w:t>
      </w:r>
    </w:p>
    <w:p w14:paraId="07E83A51"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宋体" w:hAnsi="宋体" w:hint="eastAsia"/>
          <w:b/>
          <w:sz w:val="32"/>
          <w:shd w:val="solid" w:color="FFFFFF" w:fill="auto"/>
        </w:rPr>
        <w:lastRenderedPageBreak/>
        <w:t>第六条</w:t>
      </w:r>
      <w:r>
        <w:rPr>
          <w:rFonts w:ascii="仿宋_GB2312" w:eastAsia="仿宋_GB2312" w:hAnsi="仿宋_GB2312" w:hint="eastAsia"/>
          <w:sz w:val="32"/>
          <w:shd w:val="solid" w:color="FFFFFF" w:fill="auto"/>
        </w:rPr>
        <w:t xml:space="preserve"> 业务承办股室在调查终结后作出行政执法决定前，对符合重大行政执法决定条件的行政许可事项应当送政策法规股进行审核。</w:t>
      </w:r>
    </w:p>
    <w:p w14:paraId="7311E7A0"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宋体" w:hAnsi="宋体" w:hint="eastAsia"/>
          <w:b/>
          <w:sz w:val="32"/>
          <w:shd w:val="solid" w:color="FFFFFF" w:fill="auto"/>
        </w:rPr>
        <w:t>第七条</w:t>
      </w:r>
      <w:r>
        <w:rPr>
          <w:rFonts w:ascii="仿宋_GB2312" w:eastAsia="仿宋_GB2312" w:hAnsi="仿宋_GB2312" w:hint="eastAsia"/>
          <w:sz w:val="32"/>
          <w:shd w:val="solid" w:color="FFFFFF" w:fill="auto"/>
        </w:rPr>
        <w:t xml:space="preserve"> 承办股室在送审时应当提交以下材料：</w:t>
      </w:r>
    </w:p>
    <w:p w14:paraId="10EFD9CB"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（一）重大行政执法决定的调查终结报告；</w:t>
      </w:r>
    </w:p>
    <w:p w14:paraId="5C82ED2D"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（二）重大行政执法决定建议或者意见及其情况说明；</w:t>
      </w:r>
    </w:p>
    <w:p w14:paraId="25D1CC8A"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（三）重大行政执法</w:t>
      </w:r>
      <w:proofErr w:type="gramStart"/>
      <w:r>
        <w:rPr>
          <w:rFonts w:ascii="仿宋_GB2312" w:eastAsia="仿宋_GB2312" w:hAnsi="仿宋_GB2312" w:hint="eastAsia"/>
          <w:sz w:val="32"/>
          <w:shd w:val="solid" w:color="FFFFFF" w:fill="auto"/>
        </w:rPr>
        <w:t>决定书代拟稿</w:t>
      </w:r>
      <w:proofErr w:type="gramEnd"/>
      <w:r>
        <w:rPr>
          <w:rFonts w:ascii="仿宋_GB2312" w:eastAsia="仿宋_GB2312" w:hAnsi="仿宋_GB2312" w:hint="eastAsia"/>
          <w:sz w:val="32"/>
          <w:shd w:val="solid" w:color="FFFFFF" w:fill="auto"/>
        </w:rPr>
        <w:t>；</w:t>
      </w:r>
    </w:p>
    <w:p w14:paraId="7CA080E7"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（四）相关证据材料；</w:t>
      </w:r>
    </w:p>
    <w:p w14:paraId="347E15A8"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（五）经听证、评审或者评估的，还应当提交听证笔录或者评审、评估报告；</w:t>
      </w:r>
    </w:p>
    <w:p w14:paraId="64118BB2"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（六）其他需要提交的材料。</w:t>
      </w:r>
    </w:p>
    <w:p w14:paraId="10291850"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政策法规</w:t>
      </w:r>
      <w:proofErr w:type="gramStart"/>
      <w:r>
        <w:rPr>
          <w:rFonts w:ascii="仿宋_GB2312" w:eastAsia="仿宋_GB2312" w:hAnsi="仿宋_GB2312" w:hint="eastAsia"/>
          <w:sz w:val="32"/>
          <w:shd w:val="solid" w:color="FFFFFF" w:fill="auto"/>
        </w:rPr>
        <w:t>股认为</w:t>
      </w:r>
      <w:proofErr w:type="gramEnd"/>
      <w:r>
        <w:rPr>
          <w:rFonts w:ascii="仿宋_GB2312" w:eastAsia="仿宋_GB2312" w:hAnsi="仿宋_GB2312" w:hint="eastAsia"/>
          <w:sz w:val="32"/>
          <w:shd w:val="solid" w:color="FFFFFF" w:fill="auto"/>
        </w:rPr>
        <w:t>提交材料不齐全的，可以要求承办股室在指定时间提交。</w:t>
      </w:r>
    </w:p>
    <w:p w14:paraId="13967714"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宋体" w:hAnsi="宋体" w:hint="eastAsia"/>
          <w:b/>
          <w:sz w:val="32"/>
          <w:shd w:val="solid" w:color="FFFFFF" w:fill="auto"/>
        </w:rPr>
        <w:t>第八条</w:t>
      </w:r>
      <w:r>
        <w:rPr>
          <w:rFonts w:ascii="仿宋_GB2312" w:eastAsia="仿宋_GB2312" w:hAnsi="仿宋_GB2312" w:hint="eastAsia"/>
          <w:sz w:val="32"/>
          <w:shd w:val="solid" w:color="FFFFFF" w:fill="auto"/>
        </w:rPr>
        <w:t xml:space="preserve"> 政策法规股对拟作出的重大行政执法决定从以下几个方面进行审核：</w:t>
      </w:r>
    </w:p>
    <w:p w14:paraId="0E62EEB8"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（一）行政执法机关主体是否合法，行政执法人员是否具备执法资格，评估机构是否具备相应资质，评审结果是否合理合法；</w:t>
      </w:r>
    </w:p>
    <w:p w14:paraId="046CC205"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（二）主要事实是否清楚,证据是否确凿、充分；</w:t>
      </w:r>
    </w:p>
    <w:p w14:paraId="5B5BDDA1"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（三）适用法律、法规、规章是否准确，执行标准是否适当；</w:t>
      </w:r>
    </w:p>
    <w:p w14:paraId="6E5262F2"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（四）程序是否合法；</w:t>
      </w:r>
    </w:p>
    <w:p w14:paraId="69AAC89C"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lastRenderedPageBreak/>
        <w:t>（五）是否有超越职权范围或滥用职权的情形；</w:t>
      </w:r>
    </w:p>
    <w:p w14:paraId="57DEFBB0"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（六）行政执法文书是否规范、齐备；</w:t>
      </w:r>
    </w:p>
    <w:p w14:paraId="206A61CF"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（七）其他应当审核的内容。</w:t>
      </w:r>
    </w:p>
    <w:p w14:paraId="2C3717FE"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宋体" w:hAnsi="宋体" w:hint="eastAsia"/>
          <w:b/>
          <w:sz w:val="32"/>
          <w:shd w:val="solid" w:color="FFFFFF" w:fill="auto"/>
        </w:rPr>
        <w:t>第九条</w:t>
      </w:r>
      <w:r>
        <w:rPr>
          <w:rFonts w:ascii="仿宋_GB2312" w:eastAsia="仿宋_GB2312" w:hAnsi="仿宋_GB2312" w:hint="eastAsia"/>
          <w:sz w:val="32"/>
          <w:shd w:val="solid" w:color="FFFFFF" w:fill="auto"/>
        </w:rPr>
        <w:t xml:space="preserve"> 重大行政执法决定建议情况说明应当载明以下内容：</w:t>
      </w:r>
    </w:p>
    <w:p w14:paraId="58A04449"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（一）基本事实；</w:t>
      </w:r>
    </w:p>
    <w:p w14:paraId="17689CA2"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（二）适用法律、法规、规章和执行标准的情况；</w:t>
      </w:r>
    </w:p>
    <w:p w14:paraId="234DACD9"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（三）行政执法人员资格情况；</w:t>
      </w:r>
    </w:p>
    <w:p w14:paraId="75ECCAEF"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（四）调查取证和听证情况；</w:t>
      </w:r>
    </w:p>
    <w:p w14:paraId="18322551"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（五）其他需要说明的情况。</w:t>
      </w:r>
    </w:p>
    <w:p w14:paraId="56CE5CE1"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宋体" w:hAnsi="宋体" w:hint="eastAsia"/>
          <w:b/>
          <w:sz w:val="32"/>
          <w:shd w:val="solid" w:color="FFFFFF" w:fill="auto"/>
        </w:rPr>
        <w:t>第十条</w:t>
      </w:r>
      <w:r>
        <w:rPr>
          <w:rFonts w:ascii="仿宋_GB2312" w:eastAsia="仿宋_GB2312" w:hAnsi="仿宋_GB2312" w:hint="eastAsia"/>
          <w:sz w:val="32"/>
          <w:shd w:val="solid" w:color="FFFFFF" w:fill="auto"/>
        </w:rPr>
        <w:t xml:space="preserve"> 政策法规股主要以书面审查、程序审查、现场审查为主，在审核过程中可组织本机关聘任的法律顾问或者委托第三</w:t>
      </w:r>
      <w:proofErr w:type="gramStart"/>
      <w:r>
        <w:rPr>
          <w:rFonts w:ascii="仿宋_GB2312" w:eastAsia="仿宋_GB2312" w:hAnsi="仿宋_GB2312" w:hint="eastAsia"/>
          <w:sz w:val="32"/>
          <w:shd w:val="solid" w:color="FFFFFF" w:fill="auto"/>
        </w:rPr>
        <w:t>方专业</w:t>
      </w:r>
      <w:proofErr w:type="gramEnd"/>
      <w:r>
        <w:rPr>
          <w:rFonts w:ascii="仿宋_GB2312" w:eastAsia="仿宋_GB2312" w:hAnsi="仿宋_GB2312" w:hint="eastAsia"/>
          <w:sz w:val="32"/>
          <w:shd w:val="solid" w:color="FFFFFF" w:fill="auto"/>
        </w:rPr>
        <w:t>机构研讨论证，并邀请承办机构参加；必要时，对复杂、疑难审批事项征询上级部门意见或者提请执法解释。政策法规股在审核过程中有权调阅行政执法活动相关材料，相关股室和个人应当予以协助配合。</w:t>
      </w:r>
    </w:p>
    <w:p w14:paraId="45CE1661"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宋体" w:hAnsi="宋体" w:hint="eastAsia"/>
          <w:b/>
          <w:sz w:val="32"/>
          <w:shd w:val="solid" w:color="FFFFFF" w:fill="auto"/>
        </w:rPr>
        <w:t>第十一条</w:t>
      </w:r>
      <w:r>
        <w:rPr>
          <w:rFonts w:ascii="仿宋_GB2312" w:eastAsia="仿宋_GB2312" w:hAnsi="仿宋_GB2312" w:hint="eastAsia"/>
          <w:sz w:val="32"/>
          <w:shd w:val="solid" w:color="FFFFFF" w:fill="auto"/>
        </w:rPr>
        <w:t xml:space="preserve"> 政策法规股对拟作出的重大行政执法决定进行审核后，根据不同情况，提出相应的书面意见或建议：</w:t>
      </w:r>
    </w:p>
    <w:p w14:paraId="0E3D5DA2"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（一）主要事实清楚、证据确凿、定性准确、程序合法的，提出同意的意见；</w:t>
      </w:r>
    </w:p>
    <w:p w14:paraId="633DD3E2"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（二）主要事实不清、证据不足的，提出继续调查补充证明材料或不予</w:t>
      </w:r>
      <w:proofErr w:type="gramStart"/>
      <w:r>
        <w:rPr>
          <w:rFonts w:ascii="仿宋_GB2312" w:eastAsia="仿宋_GB2312" w:hAnsi="仿宋_GB2312" w:hint="eastAsia"/>
          <w:sz w:val="32"/>
          <w:shd w:val="solid" w:color="FFFFFF" w:fill="auto"/>
        </w:rPr>
        <w:t>作出</w:t>
      </w:r>
      <w:proofErr w:type="gramEnd"/>
      <w:r>
        <w:rPr>
          <w:rFonts w:ascii="仿宋_GB2312" w:eastAsia="仿宋_GB2312" w:hAnsi="仿宋_GB2312" w:hint="eastAsia"/>
          <w:sz w:val="32"/>
          <w:shd w:val="solid" w:color="FFFFFF" w:fill="auto"/>
        </w:rPr>
        <w:t>行政执法决定的建议；</w:t>
      </w:r>
    </w:p>
    <w:p w14:paraId="55F6829B"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lastRenderedPageBreak/>
        <w:t>（三）定性不准、适用法律不准确的，提出变更意见；</w:t>
      </w:r>
    </w:p>
    <w:p w14:paraId="6CFD57A9"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仿宋_GB2312" w:eastAsia="仿宋_GB2312" w:hAnsi="仿宋_GB2312" w:hint="eastAsia"/>
          <w:sz w:val="32"/>
          <w:shd w:val="solid" w:color="FFFFFF" w:fill="auto"/>
        </w:rPr>
        <w:t>（四）程序不合法的，提出纠正意见；</w:t>
      </w:r>
    </w:p>
    <w:p w14:paraId="4E18E90D"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宋体" w:hAnsi="宋体" w:hint="eastAsia"/>
          <w:b/>
          <w:sz w:val="32"/>
          <w:shd w:val="solid" w:color="FFFFFF" w:fill="auto"/>
        </w:rPr>
        <w:t>第十二条</w:t>
      </w:r>
      <w:r>
        <w:rPr>
          <w:rFonts w:ascii="仿宋_GB2312" w:eastAsia="仿宋_GB2312" w:hAnsi="仿宋_GB2312" w:hint="eastAsia"/>
          <w:sz w:val="32"/>
          <w:shd w:val="solid" w:color="FFFFFF" w:fill="auto"/>
        </w:rPr>
        <w:t xml:space="preserve"> 政策法规股在收到重大行政执法决定送审材料后，应在七个工作日内审核完毕。案件复杂的，经单位负责人批准可以延长五个工作日。</w:t>
      </w:r>
    </w:p>
    <w:p w14:paraId="2CB17EE7"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宋体" w:hAnsi="宋体" w:hint="eastAsia"/>
          <w:b/>
          <w:sz w:val="32"/>
          <w:shd w:val="solid" w:color="FFFFFF" w:fill="auto"/>
        </w:rPr>
        <w:t>第十三条</w:t>
      </w:r>
      <w:r>
        <w:rPr>
          <w:rFonts w:ascii="仿宋_GB2312" w:eastAsia="仿宋_GB2312" w:hAnsi="仿宋_GB2312" w:hint="eastAsia"/>
          <w:sz w:val="32"/>
          <w:shd w:val="solid" w:color="FFFFFF" w:fill="auto"/>
        </w:rPr>
        <w:t xml:space="preserve"> 承办股室对政策法规股审核意见和建议应当研究采纳；有异议的应当与政策法规股协商沟通，经</w:t>
      </w:r>
      <w:proofErr w:type="gramStart"/>
      <w:r>
        <w:rPr>
          <w:rFonts w:ascii="仿宋_GB2312" w:eastAsia="仿宋_GB2312" w:hAnsi="仿宋_GB2312" w:hint="eastAsia"/>
          <w:sz w:val="32"/>
          <w:shd w:val="solid" w:color="FFFFFF" w:fill="auto"/>
        </w:rPr>
        <w:t>沟通达</w:t>
      </w:r>
      <w:proofErr w:type="gramEnd"/>
      <w:r>
        <w:rPr>
          <w:rFonts w:ascii="仿宋_GB2312" w:eastAsia="仿宋_GB2312" w:hAnsi="仿宋_GB2312" w:hint="eastAsia"/>
          <w:sz w:val="32"/>
          <w:shd w:val="solid" w:color="FFFFFF" w:fill="auto"/>
        </w:rPr>
        <w:t>不成一致意见的，将双方意见一并报送单位负责人处理。</w:t>
      </w:r>
    </w:p>
    <w:p w14:paraId="305E1BF7"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宋体" w:hAnsi="宋体" w:hint="eastAsia"/>
          <w:b/>
          <w:sz w:val="32"/>
          <w:shd w:val="solid" w:color="FFFFFF" w:fill="auto"/>
        </w:rPr>
        <w:t>第十四条</w:t>
      </w:r>
      <w:r>
        <w:rPr>
          <w:rFonts w:ascii="仿宋_GB2312" w:eastAsia="仿宋_GB2312" w:hAnsi="仿宋_GB2312" w:hint="eastAsia"/>
          <w:sz w:val="32"/>
          <w:shd w:val="solid" w:color="FFFFFF" w:fill="auto"/>
        </w:rPr>
        <w:t xml:space="preserve"> 重大行政执法案件经政策法规股审核后，提交单位负责人研究决定。</w:t>
      </w:r>
    </w:p>
    <w:p w14:paraId="2563A77A"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宋体" w:hAnsi="宋体" w:hint="eastAsia"/>
          <w:b/>
          <w:sz w:val="32"/>
          <w:shd w:val="solid" w:color="FFFFFF" w:fill="auto"/>
        </w:rPr>
        <w:t>第十五条</w:t>
      </w:r>
      <w:r>
        <w:rPr>
          <w:rFonts w:ascii="仿宋_GB2312" w:eastAsia="仿宋_GB2312" w:hAnsi="仿宋_GB2312" w:hint="eastAsia"/>
          <w:sz w:val="32"/>
          <w:shd w:val="solid" w:color="FFFFFF" w:fill="auto"/>
        </w:rPr>
        <w:t xml:space="preserve"> 各业务股室应每月将本股室所</w:t>
      </w:r>
      <w:proofErr w:type="gramStart"/>
      <w:r>
        <w:rPr>
          <w:rFonts w:ascii="仿宋_GB2312" w:eastAsia="仿宋_GB2312" w:hAnsi="仿宋_GB2312" w:hint="eastAsia"/>
          <w:sz w:val="32"/>
          <w:shd w:val="solid" w:color="FFFFFF" w:fill="auto"/>
        </w:rPr>
        <w:t>作出</w:t>
      </w:r>
      <w:proofErr w:type="gramEnd"/>
      <w:r>
        <w:rPr>
          <w:rFonts w:ascii="仿宋_GB2312" w:eastAsia="仿宋_GB2312" w:hAnsi="仿宋_GB2312" w:hint="eastAsia"/>
          <w:sz w:val="32"/>
          <w:shd w:val="solid" w:color="FFFFFF" w:fill="auto"/>
        </w:rPr>
        <w:t>的具体行政审批事项的记录清单、审批事项的电子档案，</w:t>
      </w:r>
      <w:proofErr w:type="gramStart"/>
      <w:r>
        <w:rPr>
          <w:rFonts w:ascii="仿宋_GB2312" w:eastAsia="仿宋_GB2312" w:hAnsi="仿宋_GB2312" w:hint="eastAsia"/>
          <w:sz w:val="32"/>
          <w:shd w:val="solid" w:color="FFFFFF" w:fill="auto"/>
        </w:rPr>
        <w:t>报政策</w:t>
      </w:r>
      <w:proofErr w:type="gramEnd"/>
      <w:r>
        <w:rPr>
          <w:rFonts w:ascii="仿宋_GB2312" w:eastAsia="仿宋_GB2312" w:hAnsi="仿宋_GB2312" w:hint="eastAsia"/>
          <w:sz w:val="32"/>
          <w:shd w:val="solid" w:color="FFFFFF" w:fill="auto"/>
        </w:rPr>
        <w:t>法规股备案，政策法规股应不定期对具体行政审批事项的案卷进行抽查。</w:t>
      </w:r>
    </w:p>
    <w:p w14:paraId="7B1CB780"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宋体" w:hAnsi="宋体" w:hint="eastAsia"/>
          <w:b/>
          <w:sz w:val="32"/>
          <w:shd w:val="solid" w:color="FFFFFF" w:fill="auto"/>
        </w:rPr>
        <w:t>第十六条</w:t>
      </w:r>
      <w:r>
        <w:rPr>
          <w:rFonts w:ascii="仿宋_GB2312" w:eastAsia="仿宋_GB2312" w:hAnsi="仿宋_GB2312" w:hint="eastAsia"/>
          <w:sz w:val="32"/>
          <w:shd w:val="solid" w:color="FFFFFF" w:fill="auto"/>
        </w:rPr>
        <w:t xml:space="preserve"> 政策法规股应加强对正在办理中的具体行政审批事项进行监管，各业务股室应积极配合。</w:t>
      </w:r>
    </w:p>
    <w:p w14:paraId="17B8B4F2"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宋体" w:hAnsi="宋体" w:hint="eastAsia"/>
          <w:b/>
          <w:sz w:val="32"/>
          <w:shd w:val="solid" w:color="FFFFFF" w:fill="auto"/>
        </w:rPr>
        <w:t>第十七条</w:t>
      </w:r>
      <w:r>
        <w:rPr>
          <w:rFonts w:ascii="仿宋_GB2312" w:eastAsia="仿宋_GB2312" w:hAnsi="仿宋_GB2312" w:hint="eastAsia"/>
          <w:sz w:val="32"/>
          <w:shd w:val="solid" w:color="FFFFFF" w:fill="auto"/>
        </w:rPr>
        <w:t xml:space="preserve"> 承办股室的承办人员、政策法规股的审核人员以及</w:t>
      </w:r>
      <w:proofErr w:type="gramStart"/>
      <w:r>
        <w:rPr>
          <w:rFonts w:ascii="仿宋_GB2312" w:eastAsia="仿宋_GB2312" w:hAnsi="仿宋_GB2312" w:hint="eastAsia"/>
          <w:sz w:val="32"/>
          <w:shd w:val="solid" w:color="FFFFFF" w:fill="auto"/>
        </w:rPr>
        <w:t>作出</w:t>
      </w:r>
      <w:proofErr w:type="gramEnd"/>
      <w:r>
        <w:rPr>
          <w:rFonts w:ascii="仿宋_GB2312" w:eastAsia="仿宋_GB2312" w:hAnsi="仿宋_GB2312" w:hint="eastAsia"/>
          <w:sz w:val="32"/>
          <w:shd w:val="solid" w:color="FFFFFF" w:fill="auto"/>
        </w:rPr>
        <w:t>行政执法决定的负责人因不履行或者不正确履行职责，导致行政执法决定错误，情节严重的，按照《河北省行政执法过错责任追究办法》追究相关人员的责任。</w:t>
      </w:r>
    </w:p>
    <w:p w14:paraId="24025CBE" w14:textId="77777777" w:rsidR="00DF292E" w:rsidRDefault="00DF292E" w:rsidP="00DF292E">
      <w:pPr>
        <w:spacing w:line="545" w:lineRule="atLeast"/>
        <w:ind w:firstLine="639"/>
        <w:rPr>
          <w:rFonts w:ascii="仿宋_GB2312" w:eastAsia="仿宋_GB2312" w:hAnsi="仿宋_GB2312" w:hint="eastAsia"/>
          <w:sz w:val="32"/>
          <w:shd w:val="solid" w:color="FFFFFF" w:fill="auto"/>
        </w:rPr>
      </w:pPr>
      <w:r>
        <w:rPr>
          <w:rFonts w:ascii="宋体" w:hAnsi="宋体" w:hint="eastAsia"/>
          <w:b/>
          <w:sz w:val="32"/>
          <w:shd w:val="solid" w:color="FFFFFF" w:fill="auto"/>
        </w:rPr>
        <w:t>第十八条</w:t>
      </w:r>
      <w:r>
        <w:rPr>
          <w:rFonts w:ascii="仿宋_GB2312" w:eastAsia="仿宋_GB2312" w:hAnsi="仿宋_GB2312" w:hint="eastAsia"/>
          <w:sz w:val="32"/>
          <w:shd w:val="solid" w:color="FFFFFF" w:fill="auto"/>
        </w:rPr>
        <w:t xml:space="preserve"> 本办法自印发之日起施行。</w:t>
      </w:r>
    </w:p>
    <w:p w14:paraId="10EF7A0F" w14:textId="64018F2C" w:rsidR="005C0348" w:rsidRPr="00DF292E" w:rsidRDefault="00DF292E" w:rsidP="00DF292E">
      <w:pPr>
        <w:ind w:left="0"/>
        <w:rPr>
          <w:rFonts w:ascii="仿宋_GB2312" w:eastAsia="仿宋_GB2312" w:hAnsi="仿宋_GB2312" w:hint="eastAsia"/>
          <w:sz w:val="32"/>
          <w:shd w:val="solid" w:color="FFFFFF" w:fill="auto"/>
        </w:rPr>
      </w:pPr>
      <w:r>
        <w:rPr>
          <w:rFonts w:hint="eastAsia"/>
          <w:sz w:val="44"/>
          <w:shd w:val="solid" w:color="FFFFFF" w:fill="auto"/>
        </w:rPr>
        <w:t xml:space="preserve">                      </w:t>
      </w:r>
      <w:r w:rsidRPr="00DF292E">
        <w:rPr>
          <w:rFonts w:ascii="仿宋_GB2312" w:eastAsia="仿宋_GB2312" w:hAnsi="仿宋_GB2312" w:hint="eastAsia"/>
          <w:sz w:val="32"/>
          <w:shd w:val="solid" w:color="FFFFFF" w:fill="auto"/>
        </w:rPr>
        <w:t xml:space="preserve"> 2023年1月30日</w:t>
      </w:r>
    </w:p>
    <w:sectPr w:rsidR="005C0348" w:rsidRPr="00DF292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_GB2312">
    <w:altName w:val="仿宋"/>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92E"/>
    <w:rsid w:val="00185EA7"/>
    <w:rsid w:val="00311DE6"/>
    <w:rsid w:val="005C0348"/>
    <w:rsid w:val="00DF292E"/>
    <w:rsid w:val="00E01C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9DB16"/>
  <w15:chartTrackingRefBased/>
  <w15:docId w15:val="{06921859-E2DA-4483-B031-384B4DD48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292E"/>
    <w:pPr>
      <w:widowControl w:val="0"/>
      <w:spacing w:after="0" w:line="408" w:lineRule="auto"/>
      <w:ind w:left="1"/>
      <w:jc w:val="both"/>
      <w:textAlignment w:val="bottom"/>
    </w:pPr>
    <w:rPr>
      <w:rFonts w:ascii="Times New Roman" w:eastAsia="宋体" w:hAnsi="Times New Roman" w:cs="Times New Roman"/>
      <w:color w:val="000000"/>
      <w:kern w:val="0"/>
      <w:sz w:val="21"/>
      <w:szCs w:val="20"/>
      <w14:ligatures w14:val="none"/>
    </w:rPr>
  </w:style>
  <w:style w:type="paragraph" w:styleId="1">
    <w:name w:val="heading 1"/>
    <w:basedOn w:val="a"/>
    <w:next w:val="a"/>
    <w:link w:val="10"/>
    <w:uiPriority w:val="9"/>
    <w:qFormat/>
    <w:rsid w:val="00DF292E"/>
    <w:pPr>
      <w:keepNext/>
      <w:keepLines/>
      <w:spacing w:before="480" w:after="80" w:line="278" w:lineRule="auto"/>
      <w:ind w:left="0"/>
      <w:jc w:val="left"/>
      <w:textAlignment w:val="auto"/>
      <w:outlineLvl w:val="0"/>
    </w:pPr>
    <w:rPr>
      <w:rFonts w:asciiTheme="majorHAnsi" w:eastAsiaTheme="majorEastAsia" w:hAnsiTheme="majorHAnsi" w:cstheme="majorBidi"/>
      <w:color w:val="2F5496" w:themeColor="accent1" w:themeShade="BF"/>
      <w:kern w:val="2"/>
      <w:sz w:val="48"/>
      <w:szCs w:val="48"/>
      <w14:ligatures w14:val="standardContextual"/>
    </w:rPr>
  </w:style>
  <w:style w:type="paragraph" w:styleId="2">
    <w:name w:val="heading 2"/>
    <w:basedOn w:val="a"/>
    <w:next w:val="a"/>
    <w:link w:val="20"/>
    <w:uiPriority w:val="9"/>
    <w:semiHidden/>
    <w:unhideWhenUsed/>
    <w:qFormat/>
    <w:rsid w:val="00DF292E"/>
    <w:pPr>
      <w:keepNext/>
      <w:keepLines/>
      <w:spacing w:before="160" w:after="80" w:line="278" w:lineRule="auto"/>
      <w:ind w:left="0"/>
      <w:jc w:val="left"/>
      <w:textAlignment w:val="auto"/>
      <w:outlineLvl w:val="1"/>
    </w:pPr>
    <w:rPr>
      <w:rFonts w:asciiTheme="majorHAnsi" w:eastAsiaTheme="majorEastAsia" w:hAnsiTheme="majorHAnsi" w:cstheme="majorBidi"/>
      <w:color w:val="2F5496" w:themeColor="accent1" w:themeShade="BF"/>
      <w:kern w:val="2"/>
      <w:sz w:val="40"/>
      <w:szCs w:val="40"/>
      <w14:ligatures w14:val="standardContextual"/>
    </w:rPr>
  </w:style>
  <w:style w:type="paragraph" w:styleId="3">
    <w:name w:val="heading 3"/>
    <w:basedOn w:val="a"/>
    <w:next w:val="a"/>
    <w:link w:val="30"/>
    <w:uiPriority w:val="9"/>
    <w:semiHidden/>
    <w:unhideWhenUsed/>
    <w:qFormat/>
    <w:rsid w:val="00DF292E"/>
    <w:pPr>
      <w:keepNext/>
      <w:keepLines/>
      <w:spacing w:before="160" w:after="80" w:line="278" w:lineRule="auto"/>
      <w:ind w:left="0"/>
      <w:jc w:val="left"/>
      <w:textAlignment w:val="auto"/>
      <w:outlineLvl w:val="2"/>
    </w:pPr>
    <w:rPr>
      <w:rFonts w:asciiTheme="majorHAnsi" w:eastAsiaTheme="majorEastAsia" w:hAnsiTheme="majorHAnsi" w:cstheme="majorBidi"/>
      <w:color w:val="2F5496" w:themeColor="accent1" w:themeShade="BF"/>
      <w:kern w:val="2"/>
      <w:sz w:val="32"/>
      <w:szCs w:val="32"/>
      <w14:ligatures w14:val="standardContextual"/>
    </w:rPr>
  </w:style>
  <w:style w:type="paragraph" w:styleId="4">
    <w:name w:val="heading 4"/>
    <w:basedOn w:val="a"/>
    <w:next w:val="a"/>
    <w:link w:val="40"/>
    <w:uiPriority w:val="9"/>
    <w:semiHidden/>
    <w:unhideWhenUsed/>
    <w:qFormat/>
    <w:rsid w:val="00DF292E"/>
    <w:pPr>
      <w:keepNext/>
      <w:keepLines/>
      <w:spacing w:before="80" w:after="40" w:line="278" w:lineRule="auto"/>
      <w:ind w:left="0"/>
      <w:jc w:val="left"/>
      <w:textAlignment w:val="auto"/>
      <w:outlineLvl w:val="3"/>
    </w:pPr>
    <w:rPr>
      <w:rFonts w:asciiTheme="minorHAnsi" w:eastAsiaTheme="minorEastAsia" w:hAnsiTheme="minorHAnsi" w:cstheme="majorBidi"/>
      <w:color w:val="2F5496" w:themeColor="accent1" w:themeShade="BF"/>
      <w:kern w:val="2"/>
      <w:sz w:val="28"/>
      <w:szCs w:val="28"/>
      <w14:ligatures w14:val="standardContextual"/>
    </w:rPr>
  </w:style>
  <w:style w:type="paragraph" w:styleId="5">
    <w:name w:val="heading 5"/>
    <w:basedOn w:val="a"/>
    <w:next w:val="a"/>
    <w:link w:val="50"/>
    <w:uiPriority w:val="9"/>
    <w:semiHidden/>
    <w:unhideWhenUsed/>
    <w:qFormat/>
    <w:rsid w:val="00DF292E"/>
    <w:pPr>
      <w:keepNext/>
      <w:keepLines/>
      <w:spacing w:before="80" w:after="40" w:line="278" w:lineRule="auto"/>
      <w:ind w:left="0"/>
      <w:jc w:val="left"/>
      <w:textAlignment w:val="auto"/>
      <w:outlineLvl w:val="4"/>
    </w:pPr>
    <w:rPr>
      <w:rFonts w:asciiTheme="minorHAnsi" w:eastAsiaTheme="minorEastAsia" w:hAnsiTheme="minorHAnsi" w:cstheme="majorBidi"/>
      <w:color w:val="2F5496" w:themeColor="accent1" w:themeShade="BF"/>
      <w:kern w:val="2"/>
      <w:sz w:val="24"/>
      <w:szCs w:val="24"/>
      <w14:ligatures w14:val="standardContextual"/>
    </w:rPr>
  </w:style>
  <w:style w:type="paragraph" w:styleId="6">
    <w:name w:val="heading 6"/>
    <w:basedOn w:val="a"/>
    <w:next w:val="a"/>
    <w:link w:val="60"/>
    <w:uiPriority w:val="9"/>
    <w:semiHidden/>
    <w:unhideWhenUsed/>
    <w:qFormat/>
    <w:rsid w:val="00DF292E"/>
    <w:pPr>
      <w:keepNext/>
      <w:keepLines/>
      <w:spacing w:before="40" w:line="278" w:lineRule="auto"/>
      <w:ind w:left="0"/>
      <w:jc w:val="left"/>
      <w:textAlignment w:val="auto"/>
      <w:outlineLvl w:val="5"/>
    </w:pPr>
    <w:rPr>
      <w:rFonts w:asciiTheme="minorHAnsi" w:eastAsiaTheme="minorEastAsia" w:hAnsiTheme="minorHAnsi" w:cstheme="majorBidi"/>
      <w:b/>
      <w:bCs/>
      <w:color w:val="2F5496" w:themeColor="accent1" w:themeShade="BF"/>
      <w:kern w:val="2"/>
      <w:sz w:val="22"/>
      <w:szCs w:val="24"/>
      <w14:ligatures w14:val="standardContextual"/>
    </w:rPr>
  </w:style>
  <w:style w:type="paragraph" w:styleId="7">
    <w:name w:val="heading 7"/>
    <w:basedOn w:val="a"/>
    <w:next w:val="a"/>
    <w:link w:val="70"/>
    <w:uiPriority w:val="9"/>
    <w:semiHidden/>
    <w:unhideWhenUsed/>
    <w:qFormat/>
    <w:rsid w:val="00DF292E"/>
    <w:pPr>
      <w:keepNext/>
      <w:keepLines/>
      <w:spacing w:before="40" w:line="278" w:lineRule="auto"/>
      <w:ind w:left="0"/>
      <w:jc w:val="left"/>
      <w:textAlignment w:val="auto"/>
      <w:outlineLvl w:val="6"/>
    </w:pPr>
    <w:rPr>
      <w:rFonts w:asciiTheme="minorHAnsi" w:eastAsiaTheme="minorEastAsia" w:hAnsiTheme="minorHAnsi" w:cstheme="majorBidi"/>
      <w:b/>
      <w:bCs/>
      <w:color w:val="595959" w:themeColor="text1" w:themeTint="A6"/>
      <w:kern w:val="2"/>
      <w:sz w:val="22"/>
      <w:szCs w:val="24"/>
      <w14:ligatures w14:val="standardContextual"/>
    </w:rPr>
  </w:style>
  <w:style w:type="paragraph" w:styleId="8">
    <w:name w:val="heading 8"/>
    <w:basedOn w:val="a"/>
    <w:next w:val="a"/>
    <w:link w:val="80"/>
    <w:uiPriority w:val="9"/>
    <w:semiHidden/>
    <w:unhideWhenUsed/>
    <w:qFormat/>
    <w:rsid w:val="00DF292E"/>
    <w:pPr>
      <w:keepNext/>
      <w:keepLines/>
      <w:spacing w:line="278" w:lineRule="auto"/>
      <w:ind w:left="0"/>
      <w:jc w:val="left"/>
      <w:textAlignment w:val="auto"/>
      <w:outlineLvl w:val="7"/>
    </w:pPr>
    <w:rPr>
      <w:rFonts w:asciiTheme="minorHAnsi" w:eastAsiaTheme="minorEastAsia" w:hAnsiTheme="minorHAnsi" w:cstheme="majorBidi"/>
      <w:color w:val="595959" w:themeColor="text1" w:themeTint="A6"/>
      <w:kern w:val="2"/>
      <w:sz w:val="22"/>
      <w:szCs w:val="24"/>
      <w14:ligatures w14:val="standardContextual"/>
    </w:rPr>
  </w:style>
  <w:style w:type="paragraph" w:styleId="9">
    <w:name w:val="heading 9"/>
    <w:basedOn w:val="a"/>
    <w:next w:val="a"/>
    <w:link w:val="90"/>
    <w:uiPriority w:val="9"/>
    <w:semiHidden/>
    <w:unhideWhenUsed/>
    <w:qFormat/>
    <w:rsid w:val="00DF292E"/>
    <w:pPr>
      <w:keepNext/>
      <w:keepLines/>
      <w:spacing w:line="278" w:lineRule="auto"/>
      <w:ind w:left="0"/>
      <w:jc w:val="left"/>
      <w:textAlignment w:val="auto"/>
      <w:outlineLvl w:val="8"/>
    </w:pPr>
    <w:rPr>
      <w:rFonts w:asciiTheme="minorHAnsi" w:eastAsiaTheme="majorEastAsia" w:hAnsiTheme="minorHAnsi" w:cstheme="majorBidi"/>
      <w:color w:val="595959" w:themeColor="text1" w:themeTint="A6"/>
      <w:kern w:val="2"/>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F292E"/>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DF292E"/>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DF292E"/>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DF292E"/>
    <w:rPr>
      <w:rFonts w:cstheme="majorBidi"/>
      <w:color w:val="2F5496" w:themeColor="accent1" w:themeShade="BF"/>
      <w:sz w:val="28"/>
      <w:szCs w:val="28"/>
    </w:rPr>
  </w:style>
  <w:style w:type="character" w:customStyle="1" w:styleId="50">
    <w:name w:val="标题 5 字符"/>
    <w:basedOn w:val="a0"/>
    <w:link w:val="5"/>
    <w:uiPriority w:val="9"/>
    <w:semiHidden/>
    <w:rsid w:val="00DF292E"/>
    <w:rPr>
      <w:rFonts w:cstheme="majorBidi"/>
      <w:color w:val="2F5496" w:themeColor="accent1" w:themeShade="BF"/>
      <w:sz w:val="24"/>
    </w:rPr>
  </w:style>
  <w:style w:type="character" w:customStyle="1" w:styleId="60">
    <w:name w:val="标题 6 字符"/>
    <w:basedOn w:val="a0"/>
    <w:link w:val="6"/>
    <w:uiPriority w:val="9"/>
    <w:semiHidden/>
    <w:rsid w:val="00DF292E"/>
    <w:rPr>
      <w:rFonts w:cstheme="majorBidi"/>
      <w:b/>
      <w:bCs/>
      <w:color w:val="2F5496" w:themeColor="accent1" w:themeShade="BF"/>
    </w:rPr>
  </w:style>
  <w:style w:type="character" w:customStyle="1" w:styleId="70">
    <w:name w:val="标题 7 字符"/>
    <w:basedOn w:val="a0"/>
    <w:link w:val="7"/>
    <w:uiPriority w:val="9"/>
    <w:semiHidden/>
    <w:rsid w:val="00DF292E"/>
    <w:rPr>
      <w:rFonts w:cstheme="majorBidi"/>
      <w:b/>
      <w:bCs/>
      <w:color w:val="595959" w:themeColor="text1" w:themeTint="A6"/>
    </w:rPr>
  </w:style>
  <w:style w:type="character" w:customStyle="1" w:styleId="80">
    <w:name w:val="标题 8 字符"/>
    <w:basedOn w:val="a0"/>
    <w:link w:val="8"/>
    <w:uiPriority w:val="9"/>
    <w:semiHidden/>
    <w:rsid w:val="00DF292E"/>
    <w:rPr>
      <w:rFonts w:cstheme="majorBidi"/>
      <w:color w:val="595959" w:themeColor="text1" w:themeTint="A6"/>
    </w:rPr>
  </w:style>
  <w:style w:type="character" w:customStyle="1" w:styleId="90">
    <w:name w:val="标题 9 字符"/>
    <w:basedOn w:val="a0"/>
    <w:link w:val="9"/>
    <w:uiPriority w:val="9"/>
    <w:semiHidden/>
    <w:rsid w:val="00DF292E"/>
    <w:rPr>
      <w:rFonts w:eastAsiaTheme="majorEastAsia" w:cstheme="majorBidi"/>
      <w:color w:val="595959" w:themeColor="text1" w:themeTint="A6"/>
    </w:rPr>
  </w:style>
  <w:style w:type="paragraph" w:styleId="a3">
    <w:name w:val="Title"/>
    <w:basedOn w:val="a"/>
    <w:next w:val="a"/>
    <w:link w:val="a4"/>
    <w:uiPriority w:val="10"/>
    <w:qFormat/>
    <w:rsid w:val="00DF292E"/>
    <w:pPr>
      <w:spacing w:after="80" w:line="240" w:lineRule="auto"/>
      <w:ind w:left="0"/>
      <w:contextualSpacing/>
      <w:jc w:val="center"/>
      <w:textAlignment w:val="auto"/>
    </w:pPr>
    <w:rPr>
      <w:rFonts w:asciiTheme="majorHAnsi" w:eastAsiaTheme="majorEastAsia" w:hAnsiTheme="majorHAnsi" w:cstheme="majorBidi"/>
      <w:color w:val="auto"/>
      <w:spacing w:val="-10"/>
      <w:kern w:val="28"/>
      <w:sz w:val="56"/>
      <w:szCs w:val="56"/>
      <w14:ligatures w14:val="standardContextual"/>
    </w:rPr>
  </w:style>
  <w:style w:type="character" w:customStyle="1" w:styleId="a4">
    <w:name w:val="标题 字符"/>
    <w:basedOn w:val="a0"/>
    <w:link w:val="a3"/>
    <w:uiPriority w:val="10"/>
    <w:rsid w:val="00DF292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F292E"/>
    <w:pPr>
      <w:numPr>
        <w:ilvl w:val="1"/>
      </w:numPr>
      <w:spacing w:after="160" w:line="278" w:lineRule="auto"/>
      <w:jc w:val="center"/>
      <w:textAlignment w:val="auto"/>
    </w:pPr>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6">
    <w:name w:val="副标题 字符"/>
    <w:basedOn w:val="a0"/>
    <w:link w:val="a5"/>
    <w:uiPriority w:val="11"/>
    <w:rsid w:val="00DF292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F292E"/>
    <w:pPr>
      <w:spacing w:before="160" w:after="160" w:line="278" w:lineRule="auto"/>
      <w:ind w:left="0"/>
      <w:jc w:val="center"/>
      <w:textAlignment w:val="auto"/>
    </w:pPr>
    <w:rPr>
      <w:rFonts w:asciiTheme="minorHAnsi" w:eastAsiaTheme="minorEastAsia" w:hAnsiTheme="minorHAnsi" w:cstheme="minorBidi"/>
      <w:i/>
      <w:iCs/>
      <w:color w:val="404040" w:themeColor="text1" w:themeTint="BF"/>
      <w:kern w:val="2"/>
      <w:sz w:val="22"/>
      <w:szCs w:val="24"/>
      <w14:ligatures w14:val="standardContextual"/>
    </w:rPr>
  </w:style>
  <w:style w:type="character" w:customStyle="1" w:styleId="a8">
    <w:name w:val="引用 字符"/>
    <w:basedOn w:val="a0"/>
    <w:link w:val="a7"/>
    <w:uiPriority w:val="29"/>
    <w:rsid w:val="00DF292E"/>
    <w:rPr>
      <w:i/>
      <w:iCs/>
      <w:color w:val="404040" w:themeColor="text1" w:themeTint="BF"/>
    </w:rPr>
  </w:style>
  <w:style w:type="paragraph" w:styleId="a9">
    <w:name w:val="List Paragraph"/>
    <w:basedOn w:val="a"/>
    <w:uiPriority w:val="34"/>
    <w:qFormat/>
    <w:rsid w:val="00DF292E"/>
    <w:pPr>
      <w:spacing w:after="160" w:line="278" w:lineRule="auto"/>
      <w:ind w:left="720"/>
      <w:contextualSpacing/>
      <w:jc w:val="left"/>
      <w:textAlignment w:val="auto"/>
    </w:pPr>
    <w:rPr>
      <w:rFonts w:asciiTheme="minorHAnsi" w:eastAsiaTheme="minorEastAsia" w:hAnsiTheme="minorHAnsi" w:cstheme="minorBidi"/>
      <w:color w:val="auto"/>
      <w:kern w:val="2"/>
      <w:sz w:val="22"/>
      <w:szCs w:val="24"/>
      <w14:ligatures w14:val="standardContextual"/>
    </w:rPr>
  </w:style>
  <w:style w:type="character" w:styleId="aa">
    <w:name w:val="Intense Emphasis"/>
    <w:basedOn w:val="a0"/>
    <w:uiPriority w:val="21"/>
    <w:qFormat/>
    <w:rsid w:val="00DF292E"/>
    <w:rPr>
      <w:i/>
      <w:iCs/>
      <w:color w:val="2F5496" w:themeColor="accent1" w:themeShade="BF"/>
    </w:rPr>
  </w:style>
  <w:style w:type="paragraph" w:styleId="ab">
    <w:name w:val="Intense Quote"/>
    <w:basedOn w:val="a"/>
    <w:next w:val="a"/>
    <w:link w:val="ac"/>
    <w:uiPriority w:val="30"/>
    <w:qFormat/>
    <w:rsid w:val="00DF292E"/>
    <w:pPr>
      <w:pBdr>
        <w:top w:val="single" w:sz="4" w:space="10" w:color="2F5496" w:themeColor="accent1" w:themeShade="BF"/>
        <w:bottom w:val="single" w:sz="4" w:space="10" w:color="2F5496" w:themeColor="accent1" w:themeShade="BF"/>
      </w:pBdr>
      <w:spacing w:before="360" w:after="360" w:line="278" w:lineRule="auto"/>
      <w:ind w:left="864" w:right="864"/>
      <w:jc w:val="center"/>
      <w:textAlignment w:val="auto"/>
    </w:pPr>
    <w:rPr>
      <w:rFonts w:asciiTheme="minorHAnsi" w:eastAsiaTheme="minorEastAsia" w:hAnsiTheme="minorHAnsi" w:cstheme="minorBidi"/>
      <w:i/>
      <w:iCs/>
      <w:color w:val="2F5496" w:themeColor="accent1" w:themeShade="BF"/>
      <w:kern w:val="2"/>
      <w:sz w:val="22"/>
      <w:szCs w:val="24"/>
      <w14:ligatures w14:val="standardContextual"/>
    </w:rPr>
  </w:style>
  <w:style w:type="character" w:customStyle="1" w:styleId="ac">
    <w:name w:val="明显引用 字符"/>
    <w:basedOn w:val="a0"/>
    <w:link w:val="ab"/>
    <w:uiPriority w:val="30"/>
    <w:rsid w:val="00DF292E"/>
    <w:rPr>
      <w:i/>
      <w:iCs/>
      <w:color w:val="2F5496" w:themeColor="accent1" w:themeShade="BF"/>
    </w:rPr>
  </w:style>
  <w:style w:type="character" w:styleId="ad">
    <w:name w:val="Intense Reference"/>
    <w:basedOn w:val="a0"/>
    <w:uiPriority w:val="32"/>
    <w:qFormat/>
    <w:rsid w:val="00DF292E"/>
    <w:rPr>
      <w:b/>
      <w:bCs/>
      <w:smallCaps/>
      <w:color w:val="2F5496" w:themeColor="accent1" w:themeShade="BF"/>
      <w:spacing w:val="5"/>
    </w:rPr>
  </w:style>
  <w:style w:type="character" w:customStyle="1" w:styleId="Char">
    <w:name w:val="要点 Char"/>
    <w:basedOn w:val="a0"/>
    <w:rsid w:val="00DF292E"/>
    <w:rPr>
      <w:rFonts w:ascii="Times New Roman" w:eastAsia="宋体" w:hAnsi="Times New Roman"/>
      <w:b/>
      <w:i w:val="0"/>
      <w:strike w:val="0"/>
      <w:color w:val="000000"/>
      <w:spacing w:val="0"/>
      <w:w w:val="100"/>
      <w:sz w:val="21"/>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892</Words>
  <Characters>901</Characters>
  <Application>Microsoft Office Word</Application>
  <DocSecurity>0</DocSecurity>
  <Lines>50</Lines>
  <Paragraphs>43</Paragraphs>
  <ScaleCrop>false</ScaleCrop>
  <Company/>
  <LinksUpToDate>false</LinksUpToDate>
  <CharactersWithSpaces>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649247530@qq.com</dc:creator>
  <cp:keywords/>
  <dc:description/>
  <cp:lastModifiedBy>649247530@qq.com</cp:lastModifiedBy>
  <cp:revision>1</cp:revision>
  <dcterms:created xsi:type="dcterms:W3CDTF">2026-04-10T02:48:00Z</dcterms:created>
  <dcterms:modified xsi:type="dcterms:W3CDTF">2026-04-10T02:49:00Z</dcterms:modified>
</cp:coreProperties>
</file>