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95144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600" w:lineRule="atLeast"/>
        <w:ind w:left="0" w:right="0"/>
        <w:jc w:val="center"/>
        <w:rPr>
          <w:rStyle w:val="6"/>
          <w:rFonts w:hint="eastAsia" w:ascii="仿宋" w:hAnsi="仿宋" w:eastAsia="仿宋" w:cs="仿宋"/>
          <w:b/>
          <w:bCs/>
          <w:i w:val="0"/>
          <w:iCs w:val="0"/>
          <w:caps w:val="0"/>
          <w:color w:val="333333"/>
          <w:spacing w:val="0"/>
          <w:sz w:val="43"/>
          <w:szCs w:val="43"/>
          <w:shd w:val="clear" w:fill="FFFFFF"/>
        </w:rPr>
      </w:pPr>
      <w:r>
        <w:rPr>
          <w:rStyle w:val="6"/>
          <w:rFonts w:hint="eastAsia" w:ascii="仿宋" w:hAnsi="仿宋" w:eastAsia="仿宋" w:cs="仿宋"/>
          <w:b/>
          <w:bCs/>
          <w:i w:val="0"/>
          <w:iCs w:val="0"/>
          <w:caps w:val="0"/>
          <w:color w:val="333333"/>
          <w:spacing w:val="0"/>
          <w:sz w:val="43"/>
          <w:szCs w:val="43"/>
          <w:shd w:val="clear" w:fill="FFFFFF"/>
          <w:lang w:eastAsia="zh-CN"/>
        </w:rPr>
        <w:t>涞源县</w:t>
      </w:r>
      <w:bookmarkStart w:id="0" w:name="_GoBack"/>
      <w:r>
        <w:rPr>
          <w:rStyle w:val="6"/>
          <w:rFonts w:hint="eastAsia" w:ascii="仿宋" w:hAnsi="仿宋" w:eastAsia="仿宋" w:cs="仿宋"/>
          <w:b/>
          <w:bCs/>
          <w:i w:val="0"/>
          <w:iCs w:val="0"/>
          <w:caps w:val="0"/>
          <w:color w:val="333333"/>
          <w:spacing w:val="0"/>
          <w:sz w:val="43"/>
          <w:szCs w:val="43"/>
          <w:shd w:val="clear" w:fill="FFFFFF"/>
          <w:lang w:eastAsia="zh-CN"/>
        </w:rPr>
        <w:t>泉坊镇</w:t>
      </w:r>
      <w:r>
        <w:rPr>
          <w:rStyle w:val="6"/>
          <w:rFonts w:ascii="仿宋" w:hAnsi="仿宋" w:eastAsia="仿宋" w:cs="仿宋"/>
          <w:b/>
          <w:bCs/>
          <w:i w:val="0"/>
          <w:iCs w:val="0"/>
          <w:caps w:val="0"/>
          <w:color w:val="333333"/>
          <w:spacing w:val="0"/>
          <w:sz w:val="43"/>
          <w:szCs w:val="43"/>
          <w:shd w:val="clear" w:fill="FFFFFF"/>
        </w:rPr>
        <w:t>人民政府</w:t>
      </w:r>
      <w:r>
        <w:rPr>
          <w:rStyle w:val="6"/>
          <w:rFonts w:hint="eastAsia" w:ascii="仿宋" w:hAnsi="仿宋" w:eastAsia="仿宋" w:cs="仿宋"/>
          <w:b/>
          <w:bCs/>
          <w:i w:val="0"/>
          <w:iCs w:val="0"/>
          <w:caps w:val="0"/>
          <w:color w:val="333333"/>
          <w:spacing w:val="0"/>
          <w:sz w:val="43"/>
          <w:szCs w:val="43"/>
          <w:shd w:val="clear" w:fill="FFFFFF"/>
        </w:rPr>
        <w:t>行政执法</w:t>
      </w:r>
    </w:p>
    <w:p w14:paraId="14F46BF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600" w:lineRule="atLeast"/>
        <w:ind w:left="0" w:right="0"/>
        <w:jc w:val="center"/>
        <w:rPr>
          <w:rFonts w:hint="eastAsia" w:ascii="微软雅黑" w:hAnsi="微软雅黑" w:eastAsia="微软雅黑" w:cs="微软雅黑"/>
          <w:sz w:val="21"/>
          <w:szCs w:val="21"/>
        </w:rPr>
      </w:pPr>
      <w:r>
        <w:rPr>
          <w:rStyle w:val="6"/>
          <w:rFonts w:hint="eastAsia" w:ascii="仿宋" w:hAnsi="仿宋" w:eastAsia="仿宋" w:cs="仿宋"/>
          <w:b/>
          <w:bCs/>
          <w:i w:val="0"/>
          <w:iCs w:val="0"/>
          <w:caps w:val="0"/>
          <w:color w:val="333333"/>
          <w:spacing w:val="0"/>
          <w:sz w:val="43"/>
          <w:szCs w:val="43"/>
          <w:shd w:val="clear" w:fill="FFFFFF"/>
        </w:rPr>
        <w:t>上下联动机制</w:t>
      </w:r>
      <w:bookmarkEnd w:id="0"/>
    </w:p>
    <w:p w14:paraId="022E9EC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both"/>
        <w:textAlignment w:val="baseline"/>
        <w:rPr>
          <w:rFonts w:hint="eastAsia" w:ascii="微软雅黑" w:hAnsi="微软雅黑" w:eastAsia="微软雅黑" w:cs="微软雅黑"/>
          <w:sz w:val="21"/>
          <w:szCs w:val="21"/>
        </w:rPr>
      </w:pPr>
      <w:r>
        <w:rPr>
          <w:rFonts w:ascii="仿宋_GB2312" w:hAnsi="微软雅黑" w:eastAsia="仿宋_GB2312" w:cs="仿宋_GB2312"/>
          <w:i w:val="0"/>
          <w:iCs w:val="0"/>
          <w:caps w:val="0"/>
          <w:color w:val="333333"/>
          <w:spacing w:val="0"/>
          <w:sz w:val="31"/>
          <w:szCs w:val="31"/>
          <w:shd w:val="clear" w:fill="FFFFFF"/>
          <w:vertAlign w:val="baseline"/>
        </w:rPr>
        <w:t> </w:t>
      </w:r>
    </w:p>
    <w:p w14:paraId="4BA98E8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shd w:val="clear" w:fill="FFFFFF"/>
          <w:vertAlign w:val="baseline"/>
        </w:rPr>
        <w:t>第一条  为加强本镇与赋权部门和授权委托部门的有效配合，实现行政执法与刑事司法的有效衔接，惩治各类犯罪和违法行为，结合本镇实际，制订本制度。</w:t>
      </w:r>
    </w:p>
    <w:p w14:paraId="7569E6A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shd w:val="clear" w:fill="FFFFFF"/>
          <w:vertAlign w:val="baseline"/>
        </w:rPr>
        <w:t>第二条  联席会议由</w:t>
      </w:r>
      <w:r>
        <w:rPr>
          <w:rFonts w:hint="eastAsia" w:ascii="仿宋_GB2312" w:hAnsi="微软雅黑" w:eastAsia="仿宋_GB2312" w:cs="仿宋_GB2312"/>
          <w:i w:val="0"/>
          <w:iCs w:val="0"/>
          <w:caps w:val="0"/>
          <w:color w:val="333333"/>
          <w:spacing w:val="0"/>
          <w:sz w:val="31"/>
          <w:szCs w:val="31"/>
          <w:shd w:val="clear" w:fill="FFFFFF"/>
          <w:vertAlign w:val="baseline"/>
          <w:lang w:eastAsia="zh-CN"/>
        </w:rPr>
        <w:t>泉坊镇</w:t>
      </w:r>
      <w:r>
        <w:rPr>
          <w:rFonts w:hint="default" w:ascii="仿宋_GB2312" w:hAnsi="微软雅黑" w:eastAsia="仿宋_GB2312" w:cs="仿宋_GB2312"/>
          <w:i w:val="0"/>
          <w:iCs w:val="0"/>
          <w:caps w:val="0"/>
          <w:color w:val="333333"/>
          <w:spacing w:val="0"/>
          <w:sz w:val="31"/>
          <w:szCs w:val="31"/>
          <w:shd w:val="clear" w:fill="FFFFFF"/>
          <w:vertAlign w:val="baseline"/>
        </w:rPr>
        <w:t>人民政府、县人民检察院、县人民法院、县公安局、县应急管理局、县生态环境局、县城市管理综合行政执法局、县住建局、县文旅局、县农业农村局、县自然资源和规划局、县交通运输局、县人社局、县民宗局、县发改局、县市场局、县水务局、县卫健局等部门组成。根据工作需要可邀请其他涉及本镇执法的单位参加。参加联席会议的成员为各部门的主管领导及承担执法联动的具体股室负责人。</w:t>
      </w:r>
    </w:p>
    <w:p w14:paraId="308713D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shd w:val="clear" w:fill="FFFFFF"/>
          <w:vertAlign w:val="baseline"/>
        </w:rPr>
        <w:t>第三条  联席会议由</w:t>
      </w:r>
      <w:r>
        <w:rPr>
          <w:rFonts w:hint="eastAsia" w:ascii="仿宋_GB2312" w:hAnsi="微软雅黑" w:eastAsia="仿宋_GB2312" w:cs="仿宋_GB2312"/>
          <w:i w:val="0"/>
          <w:iCs w:val="0"/>
          <w:caps w:val="0"/>
          <w:color w:val="333333"/>
          <w:spacing w:val="0"/>
          <w:sz w:val="31"/>
          <w:szCs w:val="31"/>
          <w:shd w:val="clear" w:fill="FFFFFF"/>
          <w:vertAlign w:val="baseline"/>
          <w:lang w:eastAsia="zh-CN"/>
        </w:rPr>
        <w:t>泉坊镇</w:t>
      </w:r>
      <w:r>
        <w:rPr>
          <w:rFonts w:hint="default" w:ascii="仿宋_GB2312" w:hAnsi="微软雅黑" w:eastAsia="仿宋_GB2312" w:cs="仿宋_GB2312"/>
          <w:i w:val="0"/>
          <w:iCs w:val="0"/>
          <w:caps w:val="0"/>
          <w:color w:val="333333"/>
          <w:spacing w:val="0"/>
          <w:sz w:val="31"/>
          <w:szCs w:val="31"/>
          <w:shd w:val="clear" w:fill="FFFFFF"/>
          <w:vertAlign w:val="baseline"/>
        </w:rPr>
        <w:t>综合执法队负责召集，公安部门、人民检察院、人民法院也可以根据情况组织召集。</w:t>
      </w:r>
    </w:p>
    <w:p w14:paraId="23B1F81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shd w:val="clear" w:fill="FFFFFF"/>
          <w:vertAlign w:val="baseline"/>
        </w:rPr>
        <w:t>第四条  联席会议的职责：</w:t>
      </w:r>
    </w:p>
    <w:p w14:paraId="73831F2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shd w:val="clear" w:fill="FFFFFF"/>
          <w:vertAlign w:val="baseline"/>
        </w:rPr>
        <w:t>(一)联席会议是领导本镇执法联动、督促行政执法与司法衔接的常设决策机构。</w:t>
      </w:r>
    </w:p>
    <w:p w14:paraId="0876C93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shd w:val="clear" w:fill="FFFFFF"/>
          <w:vertAlign w:val="baseline"/>
        </w:rPr>
        <w:t>(二)凡涉及本辖区范围内的执法与司法</w:t>
      </w:r>
      <w:r>
        <w:rPr>
          <w:rFonts w:hint="eastAsia" w:ascii="仿宋_GB2312" w:hAnsi="微软雅黑" w:eastAsia="仿宋_GB2312" w:cs="仿宋_GB2312"/>
          <w:i w:val="0"/>
          <w:iCs w:val="0"/>
          <w:caps w:val="0"/>
          <w:color w:val="333333"/>
          <w:spacing w:val="0"/>
          <w:sz w:val="31"/>
          <w:szCs w:val="31"/>
          <w:shd w:val="clear" w:fill="FFFFFF"/>
          <w:vertAlign w:val="baseline"/>
          <w:lang w:eastAsia="zh-CN"/>
        </w:rPr>
        <w:t>衔接</w:t>
      </w:r>
      <w:r>
        <w:rPr>
          <w:rFonts w:hint="default" w:ascii="仿宋_GB2312" w:hAnsi="微软雅黑" w:eastAsia="仿宋_GB2312" w:cs="仿宋_GB2312"/>
          <w:i w:val="0"/>
          <w:iCs w:val="0"/>
          <w:caps w:val="0"/>
          <w:color w:val="333333"/>
          <w:spacing w:val="0"/>
          <w:sz w:val="31"/>
          <w:szCs w:val="31"/>
          <w:shd w:val="clear" w:fill="FFFFFF"/>
          <w:vertAlign w:val="baseline"/>
        </w:rPr>
        <w:t>工作，联席会议有决策权、责令处理权以及对涉事人员和单位的处理建议权。</w:t>
      </w:r>
    </w:p>
    <w:p w14:paraId="217EBDB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shd w:val="clear" w:fill="FFFFFF"/>
          <w:vertAlign w:val="baseline"/>
        </w:rPr>
        <w:t>第五条  联席会议一般每季度召开一次，遇有重大事项和紧急情况可召开临时会议。</w:t>
      </w:r>
    </w:p>
    <w:p w14:paraId="0D32F85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shd w:val="clear" w:fill="FFFFFF"/>
          <w:vertAlign w:val="baseline"/>
        </w:rPr>
        <w:t>第六条  联席会议各成员单位应定期通报工作情况，研究需要解决的复杂难点问题，协调联合执法事项，加强信息交流。</w:t>
      </w:r>
    </w:p>
    <w:p w14:paraId="0FA9542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shd w:val="clear" w:fill="FFFFFF"/>
          <w:vertAlign w:val="baseline"/>
        </w:rPr>
        <w:t>第七条  联席会议的各组成单位要相互配合，共同做好本镇行政执法联动工作，同时根据工作职责及办理程序履行法定职责。</w:t>
      </w:r>
    </w:p>
    <w:p w14:paraId="233ACB3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shd w:val="clear" w:fill="FFFFFF"/>
          <w:vertAlign w:val="baseline"/>
        </w:rPr>
        <w:t>第八条  联席会议应对涉及犯罪案件查处工作进行联合会商，及时发现案件处理过程中存在的专业及技术问题。</w:t>
      </w:r>
    </w:p>
    <w:p w14:paraId="1892C1A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shd w:val="clear" w:fill="FFFFFF"/>
          <w:vertAlign w:val="baseline"/>
        </w:rPr>
        <w:t>第九条  联席会议各成员单位应根据各自技术特长对移送涉嫌环境犯罪及行政移交的材料、证据等进行交流探讨，确保执法联动工作的顺利开展。</w:t>
      </w:r>
    </w:p>
    <w:p w14:paraId="6BCC894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shd w:val="clear" w:fill="FFFFFF"/>
          <w:vertAlign w:val="baseline"/>
        </w:rPr>
        <w:t>第十条  </w:t>
      </w:r>
      <w:r>
        <w:rPr>
          <w:rFonts w:hint="eastAsia" w:ascii="仿宋_GB2312" w:hAnsi="微软雅黑" w:eastAsia="仿宋_GB2312" w:cs="仿宋_GB2312"/>
          <w:i w:val="0"/>
          <w:iCs w:val="0"/>
          <w:caps w:val="0"/>
          <w:color w:val="333333"/>
          <w:spacing w:val="0"/>
          <w:sz w:val="31"/>
          <w:szCs w:val="31"/>
          <w:shd w:val="clear" w:fill="FFFFFF"/>
          <w:vertAlign w:val="baseline"/>
          <w:lang w:eastAsia="zh-CN"/>
        </w:rPr>
        <w:t>县直</w:t>
      </w:r>
      <w:r>
        <w:rPr>
          <w:rFonts w:hint="default" w:ascii="仿宋_GB2312" w:hAnsi="微软雅黑" w:eastAsia="仿宋_GB2312" w:cs="仿宋_GB2312"/>
          <w:i w:val="0"/>
          <w:iCs w:val="0"/>
          <w:caps w:val="0"/>
          <w:color w:val="333333"/>
          <w:spacing w:val="0"/>
          <w:sz w:val="31"/>
          <w:szCs w:val="31"/>
          <w:shd w:val="clear" w:fill="FFFFFF"/>
          <w:vertAlign w:val="baseline"/>
        </w:rPr>
        <w:t>相关单位在发现本镇违法线索时，在固定初始证据的基础上，应当及时进行移交。本镇在执法时，发现不属于本镇执法范围的，也应在固定初始证据的基础上，及时进行移交。</w:t>
      </w:r>
    </w:p>
    <w:p w14:paraId="57F414C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shd w:val="clear" w:fill="FFFFFF"/>
          <w:vertAlign w:val="baseline"/>
        </w:rPr>
        <w:t>第十一条  对</w:t>
      </w:r>
      <w:r>
        <w:rPr>
          <w:rFonts w:hint="eastAsia" w:ascii="仿宋_GB2312" w:hAnsi="微软雅黑" w:eastAsia="仿宋_GB2312" w:cs="仿宋_GB2312"/>
          <w:i w:val="0"/>
          <w:iCs w:val="0"/>
          <w:caps w:val="0"/>
          <w:color w:val="333333"/>
          <w:spacing w:val="0"/>
          <w:sz w:val="31"/>
          <w:szCs w:val="31"/>
          <w:shd w:val="clear" w:fill="FFFFFF"/>
          <w:vertAlign w:val="baseline"/>
          <w:lang w:eastAsia="zh-CN"/>
        </w:rPr>
        <w:t>县直</w:t>
      </w:r>
      <w:r>
        <w:rPr>
          <w:rFonts w:hint="default" w:ascii="仿宋_GB2312" w:hAnsi="微软雅黑" w:eastAsia="仿宋_GB2312" w:cs="仿宋_GB2312"/>
          <w:i w:val="0"/>
          <w:iCs w:val="0"/>
          <w:caps w:val="0"/>
          <w:color w:val="333333"/>
          <w:spacing w:val="0"/>
          <w:sz w:val="31"/>
          <w:szCs w:val="31"/>
          <w:shd w:val="clear" w:fill="FFFFFF"/>
          <w:vertAlign w:val="baseline"/>
        </w:rPr>
        <w:t>相关单位移交的违法线索，本镇综合执法队和政务服务中心在本镇分管领导的领导下，及时进行查办，并将结果反馈至移交单位。</w:t>
      </w:r>
    </w:p>
    <w:p w14:paraId="36CED9A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shd w:val="clear" w:fill="FFFFFF"/>
          <w:vertAlign w:val="baseline"/>
        </w:rPr>
        <w:t>第十二条  对涉及犯罪的案件，及时移交县司法行政机关进行查处，移交时，签订移交文书。</w:t>
      </w:r>
    </w:p>
    <w:p w14:paraId="711AE80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shd w:val="clear" w:fill="FFFFFF"/>
          <w:vertAlign w:val="baseline"/>
        </w:rPr>
        <w:t>第十三条   本机制自印发之日起施行。</w:t>
      </w:r>
    </w:p>
    <w:p w14:paraId="0ADC927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mNDU3MjgzMGVkODQxZGFkNjZjOTlkODU4NjMxM2EifQ=="/>
  </w:docVars>
  <w:rsids>
    <w:rsidRoot w:val="00000000"/>
    <w:rsid w:val="100340F2"/>
    <w:rsid w:val="74A864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879</Words>
  <Characters>879</Characters>
  <Lines>0</Lines>
  <Paragraphs>0</Paragraphs>
  <TotalTime>5</TotalTime>
  <ScaleCrop>false</ScaleCrop>
  <LinksUpToDate>false</LinksUpToDate>
  <CharactersWithSpaces>907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2022-12-13T03:56:00Z</dcterms:created>
  <dc:creator>Administrator</dc:creator>
  <cp:lastModifiedBy>早起第一帅</cp:lastModifiedBy>
  <dcterms:modified xsi:type="dcterms:W3CDTF">2026-04-08T05:47:51Z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E44386C7C9E94F88A93B6C5C5BAD097F_13</vt:lpwstr>
  </property>
  <property fmtid="{D5CDD505-2E9C-101B-9397-08002B2CF9AE}" pid="4" name="KSOTemplateDocerSaveRecord">
    <vt:lpwstr>eyJoZGlkIjoiMGVhYjdlZTQ5OTUxOTAwYmI1M2QyZWJjZTU0MWJkNTMiLCJ1c2VySWQiOiIzMDQxMjM0MzkifQ==</vt:lpwstr>
  </property>
</Properties>
</file>