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2E3FAB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  <w:bookmarkStart w:id="0" w:name="_GoBack"/>
      <w:r>
        <w:rPr>
          <w:rFonts w:hint="eastAsia" w:ascii="方正小标宋简体" w:hAnsi="微软雅黑" w:eastAsia="方正小标宋简体"/>
          <w:color w:val="333333"/>
          <w:sz w:val="36"/>
          <w:szCs w:val="36"/>
          <w:lang w:eastAsia="zh-CN"/>
        </w:rPr>
        <w:t>泉坊镇</w:t>
      </w: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人民政府重大行政执法决定</w:t>
      </w:r>
    </w:p>
    <w:p w14:paraId="7FB7A681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jc w:val="center"/>
        <w:rPr>
          <w:rFonts w:hint="eastAsia" w:ascii="方正小标宋简体" w:hAnsi="微软雅黑" w:eastAsia="方正小标宋简体"/>
          <w:color w:val="333333"/>
          <w:sz w:val="36"/>
          <w:szCs w:val="36"/>
        </w:rPr>
      </w:pPr>
      <w:r>
        <w:rPr>
          <w:rFonts w:hint="eastAsia" w:ascii="方正小标宋简体" w:hAnsi="微软雅黑" w:eastAsia="方正小标宋简体"/>
          <w:color w:val="333333"/>
          <w:sz w:val="36"/>
          <w:szCs w:val="36"/>
        </w:rPr>
        <w:t>法制审核制度</w:t>
      </w:r>
    </w:p>
    <w:p w14:paraId="77E4EF82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第一条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为了加强对重大行政执法行为的监督，保护公民、法人和其他组织的合法权益，促进依法行政，根据《中华人民共和国行政处罚法》《中华人民共和国行政强制法》《中华人民共和国行政许可法》等法律、法规、规章有关文件的规定，制定本制度。</w:t>
      </w:r>
    </w:p>
    <w:p w14:paraId="42C237C1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第二条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本制度所称重大行政执法决定法制审核，是指本单位按照法定程序作出重大行政执法决定之前，由本单位法制员负责对其合法性、适当性进行审核的活动。</w:t>
      </w:r>
    </w:p>
    <w:p w14:paraId="32E0D322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第三条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本制度所称重大行政执法决定，是指作出行政处罚、行政强制、行政许可等行政执法决定，具有下列情形之一的，应当在作出决定前进行法制审核：</w:t>
      </w:r>
    </w:p>
    <w:p w14:paraId="1AF32E21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1、对公民处以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1000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元以上的罚款，对法人或其他组织处以</w:t>
      </w: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10000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元以上的罚款；</w:t>
      </w:r>
    </w:p>
    <w:p w14:paraId="705385EE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2、没收违法所得或没收非法财物价值相当于第一项规定的数额；</w:t>
      </w:r>
    </w:p>
    <w:p w14:paraId="4BF0B7B7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3、责令停产停业；</w:t>
      </w:r>
    </w:p>
    <w:p w14:paraId="622727DF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4、吊销许可证；</w:t>
      </w:r>
    </w:p>
    <w:p w14:paraId="61DD6CC9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5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、法律、法规、规章规定应当举行听证的，或者本单位认为需要听证且涉及公共利益的，或者直接涉及申请人与他人之间重大利益关系，申请人、利害关系人要求听证的行政许可决定；</w:t>
      </w:r>
    </w:p>
    <w:p w14:paraId="12A99A84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  <w:lang w:val="en-US" w:eastAsia="zh-CN"/>
        </w:rPr>
        <w:t>6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、其他法律、法规、规章规定应当进行法制审核的。</w:t>
      </w:r>
    </w:p>
    <w:p w14:paraId="28D3E741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第四条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重大行政执法决定进行法制审核是作出决定前的必经程序，未经法制审核或者审核未通过的，不得作出决定。</w:t>
      </w:r>
    </w:p>
    <w:p w14:paraId="5426C20A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第五条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案件承办机构或承办人在调（审）查终结后作出行政执法决定前，对符合重大行政执法决定条件的案件和事项应当送法制员进行审核。</w:t>
      </w:r>
    </w:p>
    <w:p w14:paraId="25E6E084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第六条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案件承办机构或承办人在送审时应当提交下列材料：</w:t>
      </w:r>
    </w:p>
    <w:p w14:paraId="0D59B106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1、重大行政执法决定的调查终结报告；</w:t>
      </w:r>
    </w:p>
    <w:p w14:paraId="1E01C0A0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2、重大行政执法决定建议或者意见及其情况说明；</w:t>
      </w:r>
    </w:p>
    <w:p w14:paraId="46361D54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3、重大行政执法决定书代拟稿；</w:t>
      </w:r>
    </w:p>
    <w:p w14:paraId="6C7E7420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4、拟作出重大行政执法决定的相关证据资料和依据；</w:t>
      </w:r>
    </w:p>
    <w:p w14:paraId="0FDEE64B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5、经听证或者专家审查、评估的，还应当提交听证笔录或者审查、评估报告；</w:t>
      </w:r>
    </w:p>
    <w:p w14:paraId="4C4590F5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6、其他需要提交的材料。</w:t>
      </w:r>
    </w:p>
    <w:p w14:paraId="31CF26B6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法制员认为提交材料不齐全的，可以要求案件承办机构或承办人在指定时间提交。</w:t>
      </w:r>
    </w:p>
    <w:p w14:paraId="74C34A21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第七条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重大行政执法决定建议情况说明应当载明以下内容：</w:t>
      </w:r>
    </w:p>
    <w:p w14:paraId="5211A195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1、基本事实；</w:t>
      </w:r>
    </w:p>
    <w:p w14:paraId="0EFADBB7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2、适用法律、法规、规章和行政裁量基准的情况；</w:t>
      </w:r>
    </w:p>
    <w:p w14:paraId="694F1F67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3、行政执法人员资格情况；</w:t>
      </w:r>
    </w:p>
    <w:p w14:paraId="199D2F0D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4、调查取证和听证情况；</w:t>
      </w:r>
    </w:p>
    <w:p w14:paraId="00198BDB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5、其他需要说明的情况。</w:t>
      </w:r>
    </w:p>
    <w:p w14:paraId="17B0127C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第八条</w:t>
      </w:r>
      <w:r>
        <w:rPr>
          <w:rStyle w:val="7"/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对于拟作出的重大行政执法决定，仅对提交的书面材料进行审核：</w:t>
      </w:r>
    </w:p>
    <w:p w14:paraId="7FE44DD3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1、执法主体是否合法，行政执法人员是否具备执法资格；</w:t>
      </w:r>
    </w:p>
    <w:p w14:paraId="340E9C2A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2、主要事实是否清楚，证据是否确凿、充分；</w:t>
      </w:r>
    </w:p>
    <w:p w14:paraId="5F92A9DE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3、适用法律、法规、规章是否准确，行政裁量基准是否适当；</w:t>
      </w:r>
    </w:p>
    <w:p w14:paraId="58DA359C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4、程序是否合法；</w:t>
      </w:r>
    </w:p>
    <w:p w14:paraId="1162B0AD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5、是否有超越本机关职权范围或滥用职权的情形；</w:t>
      </w:r>
    </w:p>
    <w:p w14:paraId="37BF0411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6、行政执法文书是否规范、齐备；</w:t>
      </w:r>
    </w:p>
    <w:p w14:paraId="716955D2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7、违法行为是否涉嫌犯罪需要移送司法机关；</w:t>
      </w:r>
    </w:p>
    <w:p w14:paraId="5DCD7760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8、其他应当审核的内容。</w:t>
      </w:r>
    </w:p>
    <w:p w14:paraId="43162C4F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第九条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在审核过程中，有权调阅行政执法活动相关材料，必要时可以向当事人进行调查，相关单位和个人应当予以协助配合。</w:t>
      </w:r>
    </w:p>
    <w:p w14:paraId="41D8F651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第十条</w:t>
      </w:r>
      <w:r>
        <w:rPr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对拟作出的重大行政执法决定进行审核后，根据不同情况，提出相应的书面意见或建议：</w:t>
      </w:r>
    </w:p>
    <w:p w14:paraId="309A636C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1、主要事实清楚、证据确凿、定性准确、程序合法的，提出同意的意见；</w:t>
      </w:r>
    </w:p>
    <w:p w14:paraId="70EABA54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2、主要事实不清，证据不足的，提出继续调查或不予作出行政执法决定的意见；</w:t>
      </w:r>
    </w:p>
    <w:p w14:paraId="45AEF6CB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3、定性不准、适用法律不准确和裁量基准不当的，提出变更意见；</w:t>
      </w:r>
    </w:p>
    <w:p w14:paraId="12140585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4、程序不合法的，提出整改的意见；</w:t>
      </w:r>
    </w:p>
    <w:p w14:paraId="38D46259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Fonts w:hint="eastAsia" w:ascii="仿宋_GB2312" w:hAnsi="微软雅黑" w:eastAsia="仿宋_GB2312"/>
          <w:color w:val="333333"/>
          <w:sz w:val="32"/>
          <w:szCs w:val="32"/>
        </w:rPr>
        <w:t>5、超出本机关管辖范围或涉嫌犯罪的，提出移送的意见。</w:t>
      </w:r>
    </w:p>
    <w:p w14:paraId="607D5DD5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第十一条</w:t>
      </w:r>
      <w:r>
        <w:rPr>
          <w:rStyle w:val="7"/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在收到重大行政执法决定送审材料后，应在七个工作日内审核完毕。案情复杂的经本单位负责人批准可以延长五个工作日。</w:t>
      </w:r>
    </w:p>
    <w:p w14:paraId="3230311A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第十二条</w:t>
      </w:r>
      <w:r>
        <w:rPr>
          <w:rFonts w:hint="eastAsia" w:ascii="微软雅黑" w:hAnsi="微软雅黑" w:eastAsia="仿宋_GB2312"/>
          <w:color w:val="auto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auto"/>
          <w:sz w:val="32"/>
          <w:szCs w:val="32"/>
        </w:rPr>
        <w:t>法制员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审核完毕后，应当出具重大行政执法决定法制审核意见。</w:t>
      </w:r>
    </w:p>
    <w:p w14:paraId="09C5E47D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第十三条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案件承办机构或承办人对法制员审核意见和建议应当研究采纳；有异议的应当与法制员协商沟通，经沟通达不成一致意见的，将双方意见一并报送本单位负责人处理。</w:t>
      </w:r>
    </w:p>
    <w:p w14:paraId="516E1689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第十四条</w:t>
      </w:r>
      <w:r>
        <w:rPr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重大行政执法案件或事项经法制员审核通过后，提交本单位领导集体讨论决定。法制审核未通过的，不得提交领导审批决定。</w:t>
      </w:r>
    </w:p>
    <w:p w14:paraId="3A8CCC95">
      <w:pPr>
        <w:pStyle w:val="4"/>
        <w:shd w:val="clear" w:color="auto" w:fill="FFFFFF"/>
        <w:spacing w:before="0" w:beforeAutospacing="0" w:after="0" w:afterAutospacing="0" w:line="600" w:lineRule="exact"/>
        <w:ind w:firstLine="482"/>
        <w:rPr>
          <w:rFonts w:hint="eastAsia" w:ascii="仿宋_GB2312" w:hAnsi="微软雅黑" w:eastAsia="仿宋_GB2312"/>
          <w:color w:val="333333"/>
          <w:sz w:val="32"/>
          <w:szCs w:val="32"/>
        </w:rPr>
      </w:pPr>
      <w:r>
        <w:rPr>
          <w:rStyle w:val="7"/>
          <w:rFonts w:hint="eastAsia" w:ascii="仿宋_GB2312" w:hAnsi="微软雅黑" w:eastAsia="仿宋_GB2312"/>
          <w:color w:val="333333"/>
          <w:sz w:val="32"/>
          <w:szCs w:val="32"/>
        </w:rPr>
        <w:t>第十五条</w:t>
      </w:r>
      <w:r>
        <w:rPr>
          <w:rStyle w:val="7"/>
          <w:rFonts w:hint="eastAsia" w:ascii="微软雅黑" w:hAnsi="微软雅黑" w:eastAsia="仿宋_GB2312"/>
          <w:color w:val="333333"/>
          <w:sz w:val="32"/>
          <w:szCs w:val="32"/>
        </w:rPr>
        <w:t> </w:t>
      </w:r>
      <w:r>
        <w:rPr>
          <w:rFonts w:hint="eastAsia" w:ascii="仿宋_GB2312" w:hAnsi="微软雅黑" w:eastAsia="仿宋_GB2312"/>
          <w:color w:val="333333"/>
          <w:sz w:val="32"/>
          <w:szCs w:val="32"/>
        </w:rPr>
        <w:t>本制度自印发之日起执行。</w:t>
      </w:r>
    </w:p>
    <w:p w14:paraId="2C1E8BC6">
      <w:pPr>
        <w:spacing w:line="220" w:lineRule="atLeast"/>
      </w:pPr>
    </w:p>
    <w:bookmarkEnd w:id="0"/>
    <w:sectPr>
      <w:footerReference r:id="rId5" w:type="default"/>
      <w:pgSz w:w="11906" w:h="16838"/>
      <w:pgMar w:top="1440" w:right="1800" w:bottom="1440" w:left="180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简体">
    <w:altName w:val="黑体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042F4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9AB9A72">
                          <w:pPr>
                            <w:pStyle w:val="2"/>
                            <w:rPr>
                              <w:rFonts w:hint="eastAsia" w:eastAsia="微软雅黑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9AB9A72">
                    <w:pPr>
                      <w:pStyle w:val="2"/>
                      <w:rPr>
                        <w:rFonts w:hint="eastAsia" w:eastAsia="微软雅黑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NDU3MjgzMGVkODQxZGFkNjZjOTlkODU4NjMxM2EifQ=="/>
  </w:docVars>
  <w:rsids>
    <w:rsidRoot w:val="00D31D50"/>
    <w:rsid w:val="00122BB8"/>
    <w:rsid w:val="00323B43"/>
    <w:rsid w:val="003D37D8"/>
    <w:rsid w:val="00426133"/>
    <w:rsid w:val="004358AB"/>
    <w:rsid w:val="005A0F49"/>
    <w:rsid w:val="007A28E5"/>
    <w:rsid w:val="008B7726"/>
    <w:rsid w:val="00C43131"/>
    <w:rsid w:val="00D31D50"/>
    <w:rsid w:val="04ED543E"/>
    <w:rsid w:val="0AAC334B"/>
    <w:rsid w:val="1A432C74"/>
    <w:rsid w:val="31E57E30"/>
    <w:rsid w:val="387F37D3"/>
    <w:rsid w:val="482413BD"/>
    <w:rsid w:val="5348322A"/>
    <w:rsid w:val="72E849A6"/>
    <w:rsid w:val="78D0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微软雅黑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 w:line="240" w:lineRule="auto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Char"/>
    <w:basedOn w:val="6"/>
    <w:link w:val="3"/>
    <w:semiHidden/>
    <w:qFormat/>
    <w:uiPriority w:val="99"/>
    <w:rPr>
      <w:rFonts w:ascii="Tahoma" w:hAnsi="Tahoma"/>
      <w:sz w:val="18"/>
      <w:szCs w:val="18"/>
    </w:rPr>
  </w:style>
  <w:style w:type="character" w:customStyle="1" w:styleId="9">
    <w:name w:val="页脚 Char"/>
    <w:basedOn w:val="6"/>
    <w:link w:val="2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1533</Words>
  <Characters>1540</Characters>
  <Lines>12</Lines>
  <Paragraphs>3</Paragraphs>
  <TotalTime>16</TotalTime>
  <ScaleCrop>false</ScaleCrop>
  <LinksUpToDate>false</LinksUpToDate>
  <CharactersWithSpaces>1555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早起第一帅</cp:lastModifiedBy>
  <cp:lastPrinted>2020-07-28T07:23:00Z</cp:lastPrinted>
  <dcterms:modified xsi:type="dcterms:W3CDTF">2026-04-08T04:19:59Z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76A04D3D2CF44A26B01D5BC48E8DBF41_13</vt:lpwstr>
  </property>
  <property fmtid="{D5CDD505-2E9C-101B-9397-08002B2CF9AE}" pid="4" name="KSOTemplateDocerSaveRecord">
    <vt:lpwstr>eyJoZGlkIjoiMGVhYjdlZTQ5OTUxOTAwYmI1M2QyZWJjZTU0MWJkNTMiLCJ1c2VySWQiOiIzMDQxMjM0MzkifQ==</vt:lpwstr>
  </property>
</Properties>
</file>