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315" w:lineRule="atLeast"/>
        <w:ind w:firstLine="480"/>
        <w:jc w:val="center"/>
        <w:rPr>
          <w:rFonts w:ascii="Times New Roman" w:hAnsi="Times New Roman" w:eastAsia="宋体" w:cs="Times New Roman"/>
          <w:color w:val="333333"/>
          <w:kern w:val="0"/>
          <w:szCs w:val="21"/>
        </w:rPr>
      </w:pPr>
      <w:r>
        <w:rPr>
          <w:rFonts w:hint="eastAsia" w:ascii="方正小标宋简体" w:hAnsi="Times New Roman" w:eastAsia="方正小标宋简体" w:cs="Times New Roman"/>
          <w:color w:val="000000"/>
          <w:kern w:val="0"/>
          <w:sz w:val="44"/>
          <w:szCs w:val="44"/>
          <w:lang w:eastAsia="zh-CN"/>
        </w:rPr>
        <w:t>涞源</w:t>
      </w:r>
      <w:r>
        <w:rPr>
          <w:rFonts w:hint="eastAsia" w:ascii="方正小标宋简体" w:hAnsi="Times New Roman" w:eastAsia="方正小标宋简体" w:cs="Times New Roman"/>
          <w:color w:val="000000"/>
          <w:kern w:val="0"/>
          <w:sz w:val="44"/>
          <w:szCs w:val="44"/>
        </w:rPr>
        <w:t>县审计局</w:t>
      </w:r>
    </w:p>
    <w:p>
      <w:pPr>
        <w:widowControl/>
        <w:shd w:val="clear" w:color="auto" w:fill="FFFFFF"/>
        <w:spacing w:line="315" w:lineRule="atLeast"/>
        <w:ind w:firstLine="480"/>
        <w:jc w:val="center"/>
        <w:rPr>
          <w:rFonts w:ascii="Times New Roman" w:hAnsi="Times New Roman" w:eastAsia="宋体" w:cs="Times New Roman"/>
          <w:color w:val="333333"/>
          <w:kern w:val="0"/>
          <w:szCs w:val="21"/>
        </w:rPr>
      </w:pPr>
      <w:r>
        <w:rPr>
          <w:rFonts w:hint="eastAsia" w:ascii="方正小标宋简体" w:hAnsi="Times New Roman" w:eastAsia="方正小标宋简体" w:cs="Times New Roman"/>
          <w:color w:val="000000"/>
          <w:kern w:val="0"/>
          <w:sz w:val="44"/>
          <w:szCs w:val="44"/>
        </w:rPr>
        <w:t>重大执法决定法制审核清单</w:t>
      </w:r>
    </w:p>
    <w:p>
      <w:pPr>
        <w:widowControl/>
        <w:shd w:val="clear" w:color="auto" w:fill="FFFFFF"/>
        <w:spacing w:line="315" w:lineRule="atLeast"/>
        <w:ind w:firstLine="480"/>
        <w:jc w:val="center"/>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bl>
      <w:tblPr>
        <w:tblStyle w:val="2"/>
        <w:tblW w:w="14040" w:type="dxa"/>
        <w:tblInd w:w="77" w:type="dxa"/>
        <w:shd w:val="clear" w:color="auto" w:fill="FFFFFF"/>
        <w:tblLayout w:type="fixed"/>
        <w:tblCellMar>
          <w:top w:w="0" w:type="dxa"/>
          <w:left w:w="0" w:type="dxa"/>
          <w:bottom w:w="0" w:type="dxa"/>
          <w:right w:w="0" w:type="dxa"/>
        </w:tblCellMar>
      </w:tblPr>
      <w:tblGrid>
        <w:gridCol w:w="708"/>
        <w:gridCol w:w="1104"/>
        <w:gridCol w:w="7188"/>
        <w:gridCol w:w="4188"/>
        <w:gridCol w:w="852"/>
      </w:tblGrid>
      <w:tr>
        <w:tblPrEx>
          <w:shd w:val="clear" w:color="auto" w:fill="FFFFFF"/>
          <w:tblCellMar>
            <w:top w:w="0" w:type="dxa"/>
            <w:left w:w="0" w:type="dxa"/>
            <w:bottom w:w="0" w:type="dxa"/>
            <w:right w:w="0" w:type="dxa"/>
          </w:tblCellMar>
        </w:tblPrEx>
        <w:trPr>
          <w:trHeight w:val="545" w:hRule="atLeast"/>
        </w:trPr>
        <w:tc>
          <w:tcPr>
            <w:tcW w:w="70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4"/>
                <w:szCs w:val="24"/>
              </w:rPr>
              <w:t>序号</w:t>
            </w:r>
          </w:p>
        </w:tc>
        <w:tc>
          <w:tcPr>
            <w:tcW w:w="1104"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4"/>
                <w:szCs w:val="24"/>
              </w:rPr>
              <w:t>类 别</w:t>
            </w:r>
          </w:p>
        </w:tc>
        <w:tc>
          <w:tcPr>
            <w:tcW w:w="7188"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4"/>
                <w:szCs w:val="24"/>
              </w:rPr>
              <w:t>重大行政执法决定</w:t>
            </w:r>
          </w:p>
        </w:tc>
        <w:tc>
          <w:tcPr>
            <w:tcW w:w="4188"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4"/>
                <w:szCs w:val="24"/>
              </w:rPr>
              <w:t>审核内容</w:t>
            </w:r>
          </w:p>
        </w:tc>
        <w:tc>
          <w:tcPr>
            <w:tcW w:w="852"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4"/>
                <w:szCs w:val="24"/>
              </w:rPr>
              <w:t>备 注</w:t>
            </w:r>
          </w:p>
        </w:tc>
      </w:tr>
      <w:tr>
        <w:tblPrEx>
          <w:shd w:val="clear" w:color="auto" w:fill="FFFFFF"/>
          <w:tblCellMar>
            <w:top w:w="0" w:type="dxa"/>
            <w:left w:w="0" w:type="dxa"/>
            <w:bottom w:w="0" w:type="dxa"/>
            <w:right w:w="0" w:type="dxa"/>
          </w:tblCellMar>
        </w:tblPrEx>
        <w:trPr>
          <w:trHeight w:val="720"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1</w:t>
            </w:r>
          </w:p>
        </w:tc>
        <w:tc>
          <w:tcPr>
            <w:tcW w:w="1104"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行政处罚</w:t>
            </w: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对拒绝、拖延提供与审计事项有关的资料，或者提供的资料不真实、不完整，或者拒绝、阻碍检查的处罚</w:t>
            </w:r>
          </w:p>
        </w:tc>
        <w:tc>
          <w:tcPr>
            <w:tcW w:w="4188"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审理机构主要审核下列内容：</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（一）是否超越本机关执法权限；</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（二）主要事实是否清楚、相关证据是否适当、充分；</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（三）适用法律法规和标准是否适当；</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（四）评价、定性、处理处罚意见是否恰当；</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（五）行政自由裁量权行使是否适当；</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（六）审计程序是否符合规定；</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（七）法律文书制作是否规范； </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（八）其他依法应当审核的内容。</w:t>
            </w:r>
            <w:r>
              <w:rPr>
                <w:rFonts w:hint="eastAsia" w:ascii="方正仿宋简体" w:hAnsi="Times New Roman" w:eastAsia="方正仿宋简体" w:cs="Times New Roman"/>
                <w:color w:val="000000"/>
                <w:kern w:val="0"/>
                <w:sz w:val="22"/>
              </w:rPr>
              <w:br w:type="textWrapping"/>
            </w:r>
            <w:r>
              <w:rPr>
                <w:rFonts w:hint="eastAsia" w:ascii="宋体" w:hAnsi="宋体" w:eastAsia="宋体" w:cs="Times New Roman"/>
                <w:color w:val="000000"/>
                <w:kern w:val="0"/>
                <w:sz w:val="22"/>
              </w:rPr>
              <w:t> </w:t>
            </w:r>
            <w:r>
              <w:rPr>
                <w:rFonts w:hint="eastAsia" w:ascii="方正仿宋简体" w:hAnsi="Times New Roman" w:eastAsia="方正仿宋简体" w:cs="Times New Roman"/>
                <w:color w:val="000000"/>
                <w:kern w:val="0"/>
                <w:sz w:val="22"/>
              </w:rPr>
              <w:t> 审核过程中遇有复杂问题的，经审计机关负责人同意后，审理机构可以组织专家进行论证。</w:t>
            </w: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textAlignment w:val="center"/>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r>
        <w:tblPrEx>
          <w:shd w:val="clear" w:color="auto" w:fill="FFFFFF"/>
          <w:tblCellMar>
            <w:top w:w="0" w:type="dxa"/>
            <w:left w:w="0" w:type="dxa"/>
            <w:bottom w:w="0" w:type="dxa"/>
            <w:right w:w="0" w:type="dxa"/>
          </w:tblCellMar>
        </w:tblPrEx>
        <w:trPr>
          <w:trHeight w:val="360"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2</w:t>
            </w:r>
          </w:p>
        </w:tc>
        <w:tc>
          <w:tcPr>
            <w:tcW w:w="1104" w:type="dxa"/>
            <w:vMerge w:val="continue"/>
            <w:tcBorders>
              <w:top w:val="nil"/>
              <w:left w:val="nil"/>
              <w:bottom w:val="single" w:color="auto" w:sz="8" w:space="0"/>
              <w:right w:val="single" w:color="auto" w:sz="8" w:space="0"/>
            </w:tcBorders>
            <w:shd w:val="clear" w:color="auto" w:fill="FFFFFF"/>
            <w:vAlign w:val="center"/>
          </w:tcPr>
          <w:p>
            <w:pPr>
              <w:widowControl/>
              <w:jc w:val="center"/>
              <w:rPr>
                <w:rFonts w:ascii="Times New Roman" w:hAnsi="Times New Roman" w:eastAsia="宋体" w:cs="Times New Roman"/>
                <w:color w:val="333333"/>
                <w:kern w:val="0"/>
                <w:szCs w:val="21"/>
              </w:rPr>
            </w:pP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对违反国家规定的财政财务收支行为的处罚</w:t>
            </w:r>
            <w:bookmarkStart w:id="0" w:name="_GoBack"/>
            <w:bookmarkEnd w:id="0"/>
          </w:p>
        </w:tc>
        <w:tc>
          <w:tcPr>
            <w:tcW w:w="4188"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r>
        <w:tblPrEx>
          <w:shd w:val="clear" w:color="auto" w:fill="FFFFFF"/>
          <w:tblCellMar>
            <w:top w:w="0" w:type="dxa"/>
            <w:left w:w="0" w:type="dxa"/>
            <w:bottom w:w="0" w:type="dxa"/>
            <w:right w:w="0" w:type="dxa"/>
          </w:tblCellMar>
        </w:tblPrEx>
        <w:trPr>
          <w:trHeight w:val="360"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3</w:t>
            </w:r>
          </w:p>
        </w:tc>
        <w:tc>
          <w:tcPr>
            <w:tcW w:w="1104"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行政强制</w:t>
            </w: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制止封存权</w:t>
            </w:r>
          </w:p>
        </w:tc>
        <w:tc>
          <w:tcPr>
            <w:tcW w:w="4188"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r>
        <w:tblPrEx>
          <w:shd w:val="clear" w:color="auto" w:fill="FFFFFF"/>
          <w:tblCellMar>
            <w:top w:w="0" w:type="dxa"/>
            <w:left w:w="0" w:type="dxa"/>
            <w:bottom w:w="0" w:type="dxa"/>
            <w:right w:w="0" w:type="dxa"/>
          </w:tblCellMar>
        </w:tblPrEx>
        <w:trPr>
          <w:trHeight w:val="360"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4</w:t>
            </w:r>
          </w:p>
        </w:tc>
        <w:tc>
          <w:tcPr>
            <w:tcW w:w="1104" w:type="dxa"/>
            <w:vMerge w:val="continue"/>
            <w:tcBorders>
              <w:top w:val="nil"/>
              <w:left w:val="nil"/>
              <w:bottom w:val="single" w:color="auto" w:sz="8" w:space="0"/>
              <w:right w:val="single" w:color="auto" w:sz="8" w:space="0"/>
            </w:tcBorders>
            <w:shd w:val="clear" w:color="auto" w:fill="FFFFFF"/>
            <w:vAlign w:val="center"/>
          </w:tcPr>
          <w:p>
            <w:pPr>
              <w:widowControl/>
              <w:jc w:val="center"/>
              <w:rPr>
                <w:rFonts w:ascii="Times New Roman" w:hAnsi="Times New Roman" w:eastAsia="宋体" w:cs="Times New Roman"/>
                <w:color w:val="333333"/>
                <w:kern w:val="0"/>
                <w:szCs w:val="21"/>
              </w:rPr>
            </w:pP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暂停拨付与使用权</w:t>
            </w:r>
          </w:p>
        </w:tc>
        <w:tc>
          <w:tcPr>
            <w:tcW w:w="4188"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r>
        <w:tblPrEx>
          <w:shd w:val="clear" w:color="auto" w:fill="FFFFFF"/>
          <w:tblCellMar>
            <w:top w:w="0" w:type="dxa"/>
            <w:left w:w="0" w:type="dxa"/>
            <w:bottom w:w="0" w:type="dxa"/>
            <w:right w:w="0" w:type="dxa"/>
          </w:tblCellMar>
        </w:tblPrEx>
        <w:trPr>
          <w:trHeight w:val="1596"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5</w:t>
            </w:r>
          </w:p>
        </w:tc>
        <w:tc>
          <w:tcPr>
            <w:tcW w:w="110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审计处理</w:t>
            </w: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left="420" w:leftChars="20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（一）责令限期缴纳应当上缴的款项；</w:t>
            </w:r>
            <w:r>
              <w:rPr>
                <w:rFonts w:hint="eastAsia" w:ascii="宋体" w:hAnsi="宋体" w:eastAsia="宋体" w:cs="Times New Roman"/>
                <w:color w:val="000000"/>
                <w:kern w:val="0"/>
                <w:sz w:val="22"/>
              </w:rPr>
              <w:br w:type="textWrapping"/>
            </w:r>
            <w:r>
              <w:rPr>
                <w:rFonts w:hint="eastAsia" w:ascii="方正仿宋简体" w:hAnsi="Times New Roman" w:eastAsia="方正仿宋简体" w:cs="Times New Roman"/>
                <w:color w:val="000000"/>
                <w:kern w:val="0"/>
                <w:sz w:val="22"/>
              </w:rPr>
              <w:t>（二）责令限期退还被侵占的国有资产；</w:t>
            </w:r>
            <w:r>
              <w:rPr>
                <w:rFonts w:hint="eastAsia" w:ascii="宋体" w:hAnsi="宋体" w:eastAsia="宋体" w:cs="Times New Roman"/>
                <w:color w:val="000000"/>
                <w:kern w:val="0"/>
                <w:sz w:val="22"/>
              </w:rPr>
              <w:br w:type="textWrapping"/>
            </w:r>
            <w:r>
              <w:rPr>
                <w:rFonts w:hint="eastAsia" w:ascii="方正仿宋简体" w:hAnsi="Times New Roman" w:eastAsia="方正仿宋简体" w:cs="Times New Roman"/>
                <w:color w:val="000000"/>
                <w:kern w:val="0"/>
                <w:sz w:val="22"/>
              </w:rPr>
              <w:t>（三）责令限期退还违法所得；</w:t>
            </w:r>
            <w:r>
              <w:rPr>
                <w:rFonts w:hint="eastAsia" w:ascii="宋体" w:hAnsi="宋体" w:eastAsia="宋体" w:cs="Times New Roman"/>
                <w:color w:val="000000"/>
                <w:kern w:val="0"/>
                <w:sz w:val="22"/>
              </w:rPr>
              <w:br w:type="textWrapping"/>
            </w:r>
            <w:r>
              <w:rPr>
                <w:rFonts w:hint="eastAsia" w:ascii="方正仿宋简体" w:hAnsi="Times New Roman" w:eastAsia="方正仿宋简体" w:cs="Times New Roman"/>
                <w:color w:val="000000"/>
                <w:kern w:val="0"/>
                <w:sz w:val="22"/>
              </w:rPr>
              <w:t>（四）责令按照国家统一的会计制度的有关规定进行处理；</w:t>
            </w:r>
          </w:p>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（五）其他需下达审计决定的处理措施。</w:t>
            </w:r>
          </w:p>
        </w:tc>
        <w:tc>
          <w:tcPr>
            <w:tcW w:w="4188"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r>
        <w:tblPrEx>
          <w:shd w:val="clear" w:color="auto" w:fill="FFFFFF"/>
          <w:tblCellMar>
            <w:top w:w="0" w:type="dxa"/>
            <w:left w:w="0" w:type="dxa"/>
            <w:bottom w:w="0" w:type="dxa"/>
            <w:right w:w="0" w:type="dxa"/>
          </w:tblCellMar>
        </w:tblPrEx>
        <w:trPr>
          <w:trHeight w:val="720"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6</w:t>
            </w:r>
          </w:p>
        </w:tc>
        <w:tc>
          <w:tcPr>
            <w:tcW w:w="110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审计监督</w:t>
            </w: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拟作出审计移送处理决定</w:t>
            </w:r>
          </w:p>
        </w:tc>
        <w:tc>
          <w:tcPr>
            <w:tcW w:w="4188"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r>
        <w:tblPrEx>
          <w:shd w:val="clear" w:color="auto" w:fill="FFFFFF"/>
          <w:tblCellMar>
            <w:top w:w="0" w:type="dxa"/>
            <w:left w:w="0" w:type="dxa"/>
            <w:bottom w:w="0" w:type="dxa"/>
            <w:right w:w="0" w:type="dxa"/>
          </w:tblCellMar>
        </w:tblPrEx>
        <w:trPr>
          <w:trHeight w:val="360"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7</w:t>
            </w:r>
          </w:p>
        </w:tc>
        <w:tc>
          <w:tcPr>
            <w:tcW w:w="1104"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其 他</w:t>
            </w: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拟作出的其他重大、复杂、疑难处理处罚决定。</w:t>
            </w:r>
          </w:p>
        </w:tc>
        <w:tc>
          <w:tcPr>
            <w:tcW w:w="4188"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r>
        <w:tblPrEx>
          <w:shd w:val="clear" w:color="auto" w:fill="FFFFFF"/>
          <w:tblCellMar>
            <w:top w:w="0" w:type="dxa"/>
            <w:left w:w="0" w:type="dxa"/>
            <w:bottom w:w="0" w:type="dxa"/>
            <w:right w:w="0" w:type="dxa"/>
          </w:tblCellMar>
        </w:tblPrEx>
        <w:trPr>
          <w:trHeight w:val="720" w:hRule="atLeast"/>
        </w:trPr>
        <w:tc>
          <w:tcPr>
            <w:tcW w:w="70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jc w:val="center"/>
              <w:textAlignment w:val="center"/>
              <w:rPr>
                <w:rFonts w:ascii="Times New Roman" w:hAnsi="Times New Roman" w:eastAsia="宋体" w:cs="Times New Roman"/>
                <w:color w:val="333333"/>
                <w:kern w:val="0"/>
                <w:szCs w:val="21"/>
              </w:rPr>
            </w:pPr>
            <w:r>
              <w:rPr>
                <w:rFonts w:hint="eastAsia" w:ascii="宋体" w:hAnsi="宋体" w:eastAsia="宋体" w:cs="Times New Roman"/>
                <w:color w:val="000000"/>
                <w:kern w:val="0"/>
                <w:sz w:val="22"/>
              </w:rPr>
              <w:t>8</w:t>
            </w:r>
          </w:p>
        </w:tc>
        <w:tc>
          <w:tcPr>
            <w:tcW w:w="1104"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718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textAlignment w:val="center"/>
              <w:rPr>
                <w:rFonts w:ascii="Times New Roman" w:hAnsi="Times New Roman" w:eastAsia="宋体" w:cs="Times New Roman"/>
                <w:color w:val="333333"/>
                <w:kern w:val="0"/>
                <w:szCs w:val="21"/>
              </w:rPr>
            </w:pPr>
            <w:r>
              <w:rPr>
                <w:rFonts w:hint="eastAsia" w:ascii="方正仿宋简体" w:hAnsi="Times New Roman" w:eastAsia="方正仿宋简体" w:cs="Times New Roman"/>
                <w:color w:val="000000"/>
                <w:kern w:val="0"/>
                <w:sz w:val="22"/>
              </w:rPr>
              <w:t>法律、法规、规章和上级行政机关规定应当进行法制审核的其他重大行政执法决定。</w:t>
            </w:r>
          </w:p>
        </w:tc>
        <w:tc>
          <w:tcPr>
            <w:tcW w:w="4188" w:type="dxa"/>
            <w:vMerge w:val="continue"/>
            <w:tcBorders>
              <w:top w:val="nil"/>
              <w:left w:val="nil"/>
              <w:bottom w:val="single" w:color="auto" w:sz="8" w:space="0"/>
              <w:right w:val="single" w:color="auto" w:sz="8" w:space="0"/>
            </w:tcBorders>
            <w:shd w:val="clear" w:color="auto" w:fill="FFFFFF"/>
            <w:vAlign w:val="center"/>
          </w:tcPr>
          <w:p>
            <w:pPr>
              <w:widowControl/>
              <w:jc w:val="left"/>
              <w:rPr>
                <w:rFonts w:ascii="Times New Roman" w:hAnsi="Times New Roman" w:eastAsia="宋体" w:cs="Times New Roman"/>
                <w:color w:val="333333"/>
                <w:kern w:val="0"/>
                <w:szCs w:val="21"/>
              </w:rPr>
            </w:pPr>
          </w:p>
        </w:tc>
        <w:tc>
          <w:tcPr>
            <w:tcW w:w="85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00" w:lineRule="atLeast"/>
              <w:ind w:firstLine="480"/>
              <w:jc w:val="left"/>
              <w:rPr>
                <w:rFonts w:ascii="Times New Roman" w:hAnsi="Times New Roman" w:eastAsia="宋体" w:cs="Times New Roman"/>
                <w:color w:val="333333"/>
                <w:kern w:val="0"/>
                <w:szCs w:val="21"/>
              </w:rPr>
            </w:pPr>
            <w:r>
              <w:rPr>
                <w:rFonts w:ascii="Times New Roman" w:hAnsi="Times New Roman" w:eastAsia="宋体" w:cs="Times New Roman"/>
                <w:color w:val="333333"/>
                <w:kern w:val="0"/>
                <w:szCs w:val="21"/>
              </w:rPr>
              <w:t> </w:t>
            </w:r>
          </w:p>
        </w:tc>
      </w:tr>
    </w:tbl>
    <w:p>
      <w:pPr>
        <w:widowControl/>
        <w:shd w:val="clear" w:color="auto" w:fill="FFFFFF"/>
        <w:spacing w:line="540" w:lineRule="atLeast"/>
        <w:ind w:firstLine="480"/>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微软雅黑"/>
    <w:panose1 w:val="03000509000000000000"/>
    <w:charset w:val="86"/>
    <w:family w:val="roma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简体">
    <w:altName w:val="宋体"/>
    <w:panose1 w:val="00000000000000000000"/>
    <w:charset w:val="86"/>
    <w:family w:val="roma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mZmM2QwZDZhODVjMjY3YzQyNTM0YzQ4YTljNDU0ZTkifQ=="/>
  </w:docVars>
  <w:rsids>
    <w:rsidRoot w:val="000C2CB3"/>
    <w:rsid w:val="000C2CB3"/>
    <w:rsid w:val="002B5F2A"/>
    <w:rsid w:val="00591520"/>
    <w:rsid w:val="005F20A8"/>
    <w:rsid w:val="0CB943CF"/>
    <w:rsid w:val="3D2003F6"/>
    <w:rsid w:val="3D310B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customStyle="1" w:styleId="4">
    <w:name w:val="apple-converted-space"/>
    <w:basedOn w:val="3"/>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6315D-8DDC-4C6C-A2CA-1419B0F28B5E}">
  <ds:schemaRefs/>
</ds:datastoreItem>
</file>

<file path=docProps/app.xml><?xml version="1.0" encoding="utf-8"?>
<Properties xmlns="http://schemas.openxmlformats.org/officeDocument/2006/extended-properties" xmlns:vt="http://schemas.openxmlformats.org/officeDocument/2006/docPropsVTypes">
  <Template>Normal.dotm</Template>
  <Pages>2</Pages>
  <Words>493</Words>
  <Characters>493</Characters>
  <Lines>4</Lines>
  <Paragraphs>1</Paragraphs>
  <TotalTime>5</TotalTime>
  <ScaleCrop>false</ScaleCrop>
  <LinksUpToDate>false</LinksUpToDate>
  <CharactersWithSpaces>517</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2017-09-06T03:03:00Z</dcterms:created>
  <dc:creator>ailun</dc:creator>
  <cp:lastModifiedBy>狂流</cp:lastModifiedBy>
  <dcterms:modified xsi:type="dcterms:W3CDTF">2023-06-01T07:44:31Z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CA24EBFB4D5343039C324BA8F5779E10</vt:lpwstr>
  </property>
</Properties>
</file>