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9900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Theme="majorEastAsia" w:hAnsiTheme="majorEastAsia" w:eastAsiaTheme="majorEastAsia" w:cstheme="majorEastAsia"/>
          <w:b/>
          <w:bCs/>
          <w:i w:val="0"/>
          <w:iCs w:val="0"/>
          <w:caps w:val="0"/>
          <w:color w:val="333333"/>
          <w:spacing w:val="0"/>
          <w:sz w:val="21"/>
          <w:szCs w:val="21"/>
          <w:u w:val="none"/>
        </w:rPr>
      </w:pPr>
      <w:r>
        <w:rPr>
          <w:rFonts w:hint="eastAsia" w:asciiTheme="majorEastAsia" w:hAnsiTheme="majorEastAsia" w:eastAsiaTheme="majorEastAsia" w:cstheme="majorEastAsia"/>
          <w:b/>
          <w:bCs/>
          <w:i w:val="0"/>
          <w:iCs w:val="0"/>
          <w:caps w:val="0"/>
          <w:color w:val="333333"/>
          <w:spacing w:val="0"/>
          <w:sz w:val="36"/>
          <w:szCs w:val="36"/>
          <w:u w:val="none"/>
          <w:bdr w:val="none" w:color="auto" w:sz="0" w:space="0"/>
          <w:shd w:val="clear" w:fill="FFFFFF"/>
          <w:lang w:eastAsia="zh-CN"/>
        </w:rPr>
        <w:t>涞源县</w:t>
      </w:r>
      <w:r>
        <w:rPr>
          <w:rFonts w:hint="eastAsia" w:asciiTheme="majorEastAsia" w:hAnsiTheme="majorEastAsia" w:eastAsiaTheme="majorEastAsia" w:cstheme="majorEastAsia"/>
          <w:b/>
          <w:bCs/>
          <w:i w:val="0"/>
          <w:iCs w:val="0"/>
          <w:caps w:val="0"/>
          <w:color w:val="333333"/>
          <w:spacing w:val="0"/>
          <w:sz w:val="36"/>
          <w:szCs w:val="36"/>
          <w:u w:val="none"/>
          <w:bdr w:val="none" w:color="auto" w:sz="0" w:space="0"/>
          <w:shd w:val="clear" w:fill="FFFFFF"/>
        </w:rPr>
        <w:t>发展改革和科学技术局</w:t>
      </w:r>
    </w:p>
    <w:p w14:paraId="35E4D2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Theme="majorEastAsia" w:hAnsiTheme="majorEastAsia" w:eastAsiaTheme="majorEastAsia" w:cstheme="majorEastAsia"/>
          <w:b/>
          <w:bCs/>
          <w:i w:val="0"/>
          <w:iCs w:val="0"/>
          <w:caps w:val="0"/>
          <w:color w:val="333333"/>
          <w:spacing w:val="0"/>
          <w:sz w:val="21"/>
          <w:szCs w:val="21"/>
          <w:u w:val="none"/>
        </w:rPr>
      </w:pPr>
      <w:r>
        <w:rPr>
          <w:rFonts w:hint="eastAsia" w:asciiTheme="majorEastAsia" w:hAnsiTheme="majorEastAsia" w:eastAsiaTheme="majorEastAsia" w:cstheme="majorEastAsia"/>
          <w:b/>
          <w:bCs/>
          <w:i w:val="0"/>
          <w:iCs w:val="0"/>
          <w:caps w:val="0"/>
          <w:color w:val="333333"/>
          <w:spacing w:val="0"/>
          <w:sz w:val="36"/>
          <w:szCs w:val="36"/>
          <w:u w:val="none"/>
          <w:bdr w:val="none" w:color="auto" w:sz="0" w:space="0"/>
          <w:shd w:val="clear" w:fill="FFFFFF"/>
        </w:rPr>
        <w:t>关于遴选</w:t>
      </w:r>
      <w:r>
        <w:rPr>
          <w:rFonts w:hint="eastAsia" w:asciiTheme="majorEastAsia" w:hAnsiTheme="majorEastAsia" w:eastAsiaTheme="majorEastAsia" w:cstheme="majorEastAsia"/>
          <w:b/>
          <w:bCs/>
          <w:i w:val="0"/>
          <w:iCs w:val="0"/>
          <w:caps w:val="0"/>
          <w:color w:val="333333"/>
          <w:spacing w:val="0"/>
          <w:sz w:val="36"/>
          <w:szCs w:val="36"/>
          <w:u w:val="none"/>
          <w:bdr w:val="none" w:color="auto" w:sz="0" w:space="0"/>
          <w:shd w:val="clear" w:fill="FFFFFF"/>
          <w:lang w:eastAsia="zh-CN"/>
        </w:rPr>
        <w:t>涞源县</w:t>
      </w:r>
      <w:r>
        <w:rPr>
          <w:rFonts w:hint="eastAsia" w:asciiTheme="majorEastAsia" w:hAnsiTheme="majorEastAsia" w:eastAsiaTheme="majorEastAsia" w:cstheme="majorEastAsia"/>
          <w:b/>
          <w:bCs/>
          <w:i w:val="0"/>
          <w:iCs w:val="0"/>
          <w:caps w:val="0"/>
          <w:color w:val="333333"/>
          <w:spacing w:val="0"/>
          <w:sz w:val="36"/>
          <w:szCs w:val="36"/>
          <w:u w:val="none"/>
          <w:bdr w:val="none" w:color="auto" w:sz="0" w:space="0"/>
          <w:shd w:val="clear" w:fill="FFFFFF"/>
        </w:rPr>
        <w:t>2024年第二批家电、家装、电动自行车以旧换新活动承办企业的</w:t>
      </w:r>
    </w:p>
    <w:p w14:paraId="74A05C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jc w:val="center"/>
        <w:textAlignment w:val="auto"/>
        <w:rPr>
          <w:rFonts w:hint="eastAsia" w:asciiTheme="majorEastAsia" w:hAnsiTheme="majorEastAsia" w:eastAsiaTheme="majorEastAsia" w:cstheme="majorEastAsia"/>
          <w:b/>
          <w:bCs/>
          <w:i w:val="0"/>
          <w:iCs w:val="0"/>
          <w:caps w:val="0"/>
          <w:color w:val="333333"/>
          <w:spacing w:val="0"/>
          <w:sz w:val="21"/>
          <w:szCs w:val="21"/>
          <w:u w:val="none"/>
        </w:rPr>
      </w:pPr>
      <w:r>
        <w:rPr>
          <w:rFonts w:hint="eastAsia" w:asciiTheme="majorEastAsia" w:hAnsiTheme="majorEastAsia" w:eastAsiaTheme="majorEastAsia" w:cstheme="majorEastAsia"/>
          <w:b/>
          <w:bCs/>
          <w:i w:val="0"/>
          <w:iCs w:val="0"/>
          <w:caps w:val="0"/>
          <w:color w:val="333333"/>
          <w:spacing w:val="0"/>
          <w:sz w:val="36"/>
          <w:szCs w:val="36"/>
          <w:u w:val="none"/>
          <w:bdr w:val="none" w:color="auto" w:sz="0" w:space="0"/>
          <w:shd w:val="clear" w:fill="FFFFFF"/>
        </w:rPr>
        <w:t>公  示</w:t>
      </w:r>
    </w:p>
    <w:p w14:paraId="455E0AB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D3D3D"/>
          <w:spacing w:val="0"/>
          <w:sz w:val="32"/>
          <w:szCs w:val="32"/>
          <w:u w:val="none"/>
          <w:bdr w:val="none" w:color="auto" w:sz="0" w:space="0"/>
          <w:shd w:val="clear" w:fill="FFFFFF"/>
        </w:rPr>
      </w:pPr>
    </w:p>
    <w:p w14:paraId="290895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为贯彻落实党中央、国务院和省、市关于消费品以旧换新工作系列部署，按照国家发改委、财政部《关于加力支持大规模设备更新和消费品以旧换新的若干措施》和8月以来商务部等多部门关于家电、电动自行车等商品以旧换新工作的最新政策安排，结合省</w:t>
      </w:r>
      <w:r>
        <w:rPr>
          <w:rFonts w:hint="eastAsia" w:ascii="仿宋" w:hAnsi="仿宋" w:eastAsia="仿宋" w:cs="仿宋"/>
          <w:i w:val="0"/>
          <w:iCs w:val="0"/>
          <w:caps w:val="0"/>
          <w:color w:val="3D3D3D"/>
          <w:spacing w:val="0"/>
          <w:sz w:val="32"/>
          <w:szCs w:val="32"/>
          <w:u w:val="none"/>
          <w:bdr w:val="none" w:color="auto" w:sz="0" w:space="0"/>
          <w:shd w:val="clear" w:fill="FFFFFF"/>
          <w:lang w:eastAsia="zh-CN"/>
        </w:rPr>
        <w:t>、市</w:t>
      </w:r>
      <w:r>
        <w:rPr>
          <w:rFonts w:hint="eastAsia" w:ascii="仿宋" w:hAnsi="仿宋" w:eastAsia="仿宋" w:cs="仿宋"/>
          <w:i w:val="0"/>
          <w:iCs w:val="0"/>
          <w:caps w:val="0"/>
          <w:color w:val="3D3D3D"/>
          <w:spacing w:val="0"/>
          <w:sz w:val="32"/>
          <w:szCs w:val="32"/>
          <w:u w:val="none"/>
          <w:bdr w:val="none" w:color="auto" w:sz="0" w:space="0"/>
          <w:shd w:val="clear" w:fill="FFFFFF"/>
        </w:rPr>
        <w:t>最新工作要求，拟面向全县开展家电、家装和电动自行车以旧换新活动承办单位遴选工作，具体事项明确如下：</w:t>
      </w:r>
    </w:p>
    <w:p w14:paraId="05B887F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黑体" w:hAnsi="黑体" w:eastAsia="黑体" w:cs="黑体"/>
          <w:i w:val="0"/>
          <w:iCs w:val="0"/>
          <w:caps w:val="0"/>
          <w:color w:val="333333"/>
          <w:spacing w:val="0"/>
          <w:sz w:val="32"/>
          <w:szCs w:val="32"/>
          <w:u w:val="none"/>
        </w:rPr>
      </w:pPr>
      <w:r>
        <w:rPr>
          <w:rFonts w:hint="eastAsia" w:ascii="黑体" w:hAnsi="黑体" w:eastAsia="黑体" w:cs="黑体"/>
          <w:i w:val="0"/>
          <w:iCs w:val="0"/>
          <w:caps w:val="0"/>
          <w:color w:val="3D3D3D"/>
          <w:spacing w:val="0"/>
          <w:sz w:val="32"/>
          <w:szCs w:val="32"/>
          <w:u w:val="none"/>
          <w:bdr w:val="none" w:color="auto" w:sz="0" w:space="0"/>
          <w:shd w:val="clear" w:fill="FFFFFF"/>
        </w:rPr>
        <w:t>一、活动情况</w:t>
      </w:r>
    </w:p>
    <w:p w14:paraId="7059721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楷体" w:hAnsi="楷体" w:eastAsia="楷体" w:cs="楷体"/>
          <w:b/>
          <w:bCs/>
          <w:i w:val="0"/>
          <w:iCs w:val="0"/>
          <w:caps w:val="0"/>
          <w:color w:val="333333"/>
          <w:spacing w:val="0"/>
          <w:sz w:val="32"/>
          <w:szCs w:val="32"/>
          <w:u w:val="none"/>
        </w:rPr>
      </w:pPr>
      <w:r>
        <w:rPr>
          <w:rFonts w:hint="eastAsia" w:ascii="楷体" w:hAnsi="楷体" w:eastAsia="楷体" w:cs="楷体"/>
          <w:b/>
          <w:bCs/>
          <w:i w:val="0"/>
          <w:iCs w:val="0"/>
          <w:caps w:val="0"/>
          <w:color w:val="3D3D3D"/>
          <w:spacing w:val="0"/>
          <w:sz w:val="32"/>
          <w:szCs w:val="32"/>
          <w:u w:val="none"/>
          <w:bdr w:val="none" w:color="auto" w:sz="0" w:space="0"/>
          <w:shd w:val="clear" w:fill="FFFFFF"/>
        </w:rPr>
        <w:t>（一）活动时间</w:t>
      </w:r>
    </w:p>
    <w:p w14:paraId="03576C8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活动已全面启动，实行资金总量控制，使用完毕即止，最晚年底前结束。</w:t>
      </w:r>
    </w:p>
    <w:p w14:paraId="73A4156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楷体" w:hAnsi="楷体" w:eastAsia="楷体" w:cs="楷体"/>
          <w:b/>
          <w:bCs/>
          <w:i w:val="0"/>
          <w:iCs w:val="0"/>
          <w:caps w:val="0"/>
          <w:color w:val="3D3D3D"/>
          <w:spacing w:val="0"/>
          <w:sz w:val="32"/>
          <w:szCs w:val="32"/>
          <w:u w:val="none"/>
          <w:shd w:val="clear" w:fill="FFFFFF"/>
        </w:rPr>
      </w:pPr>
      <w:r>
        <w:rPr>
          <w:rFonts w:hint="eastAsia" w:ascii="楷体" w:hAnsi="楷体" w:eastAsia="楷体" w:cs="楷体"/>
          <w:b/>
          <w:bCs/>
          <w:i w:val="0"/>
          <w:iCs w:val="0"/>
          <w:caps w:val="0"/>
          <w:color w:val="3D3D3D"/>
          <w:spacing w:val="0"/>
          <w:sz w:val="32"/>
          <w:szCs w:val="32"/>
          <w:u w:val="none"/>
          <w:shd w:val="clear" w:fill="FFFFFF"/>
        </w:rPr>
        <w:t>（二）遴选对象</w:t>
      </w:r>
    </w:p>
    <w:p w14:paraId="0791203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在我县县域范围内依法纳税，经营良好，财务制度健全，近三年内信用评级良好，在工商、税务等方面无重大违法违规记录，从事相关行业经销的重点法人企业或个体工商户。</w:t>
      </w:r>
    </w:p>
    <w:p w14:paraId="2B9BF01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楷体" w:hAnsi="楷体" w:eastAsia="楷体" w:cs="楷体"/>
          <w:b/>
          <w:bCs/>
          <w:i w:val="0"/>
          <w:iCs w:val="0"/>
          <w:caps w:val="0"/>
          <w:color w:val="3D3D3D"/>
          <w:spacing w:val="0"/>
          <w:sz w:val="32"/>
          <w:szCs w:val="32"/>
          <w:u w:val="none"/>
          <w:shd w:val="clear" w:fill="FFFFFF"/>
        </w:rPr>
      </w:pPr>
      <w:r>
        <w:rPr>
          <w:rFonts w:hint="eastAsia" w:ascii="楷体" w:hAnsi="楷体" w:eastAsia="楷体" w:cs="楷体"/>
          <w:b/>
          <w:bCs/>
          <w:i w:val="0"/>
          <w:iCs w:val="0"/>
          <w:caps w:val="0"/>
          <w:color w:val="3D3D3D"/>
          <w:spacing w:val="0"/>
          <w:sz w:val="32"/>
          <w:szCs w:val="32"/>
          <w:u w:val="none"/>
          <w:shd w:val="clear" w:fill="FFFFFF"/>
        </w:rPr>
        <w:t>（三）遴选方式</w:t>
      </w:r>
    </w:p>
    <w:p w14:paraId="05AA5CE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采取公开征集方式。通过拟参与单位自主报名，</w:t>
      </w:r>
      <w:r>
        <w:rPr>
          <w:rFonts w:hint="eastAsia" w:ascii="仿宋" w:hAnsi="仿宋" w:eastAsia="仿宋" w:cs="仿宋"/>
          <w:i w:val="0"/>
          <w:iCs w:val="0"/>
          <w:caps w:val="0"/>
          <w:color w:val="3D3D3D"/>
          <w:spacing w:val="0"/>
          <w:sz w:val="32"/>
          <w:szCs w:val="32"/>
          <w:u w:val="none"/>
          <w:bdr w:val="none" w:color="auto" w:sz="0" w:space="0"/>
          <w:shd w:val="clear" w:fill="FFFFFF"/>
          <w:lang w:eastAsia="zh-CN"/>
        </w:rPr>
        <w:t>各乡镇人民政府推荐，</w:t>
      </w:r>
      <w:r>
        <w:rPr>
          <w:rFonts w:hint="eastAsia" w:ascii="仿宋" w:hAnsi="仿宋" w:eastAsia="仿宋" w:cs="仿宋"/>
          <w:i w:val="0"/>
          <w:iCs w:val="0"/>
          <w:caps w:val="0"/>
          <w:color w:val="3D3D3D"/>
          <w:spacing w:val="0"/>
          <w:sz w:val="32"/>
          <w:szCs w:val="32"/>
          <w:u w:val="none"/>
          <w:bdr w:val="none" w:color="auto" w:sz="0" w:space="0"/>
          <w:shd w:val="clear" w:fill="FFFFFF"/>
        </w:rPr>
        <w:t>县发改和科技局审核，市商务局</w:t>
      </w:r>
      <w:r>
        <w:rPr>
          <w:rFonts w:hint="eastAsia" w:ascii="仿宋" w:hAnsi="仿宋" w:eastAsia="仿宋" w:cs="仿宋"/>
          <w:i w:val="0"/>
          <w:iCs w:val="0"/>
          <w:caps w:val="0"/>
          <w:color w:val="3D3D3D"/>
          <w:spacing w:val="0"/>
          <w:sz w:val="32"/>
          <w:szCs w:val="32"/>
          <w:u w:val="none"/>
          <w:bdr w:val="none" w:color="auto" w:sz="0" w:space="0"/>
          <w:shd w:val="clear" w:fill="FFFFFF"/>
          <w:lang w:eastAsia="zh-CN"/>
        </w:rPr>
        <w:t>组织</w:t>
      </w:r>
      <w:r>
        <w:rPr>
          <w:rFonts w:hint="eastAsia" w:ascii="仿宋" w:hAnsi="仿宋" w:eastAsia="仿宋" w:cs="仿宋"/>
          <w:i w:val="0"/>
          <w:iCs w:val="0"/>
          <w:caps w:val="0"/>
          <w:color w:val="3D3D3D"/>
          <w:spacing w:val="0"/>
          <w:sz w:val="32"/>
          <w:szCs w:val="32"/>
          <w:u w:val="none"/>
          <w:shd w:val="clear" w:fill="FFFFFF"/>
        </w:rPr>
        <w:t>专家集中评审</w:t>
      </w:r>
      <w:r>
        <w:rPr>
          <w:rFonts w:hint="eastAsia" w:ascii="仿宋" w:hAnsi="仿宋" w:eastAsia="仿宋" w:cs="仿宋"/>
          <w:i w:val="0"/>
          <w:iCs w:val="0"/>
          <w:caps w:val="0"/>
          <w:color w:val="3D3D3D"/>
          <w:spacing w:val="0"/>
          <w:sz w:val="32"/>
          <w:szCs w:val="32"/>
          <w:u w:val="none"/>
          <w:shd w:val="clear" w:fill="FFFFFF"/>
          <w:lang w:eastAsia="zh-CN"/>
        </w:rPr>
        <w:t>，</w:t>
      </w:r>
      <w:r>
        <w:rPr>
          <w:rFonts w:hint="eastAsia" w:ascii="仿宋" w:hAnsi="仿宋" w:eastAsia="仿宋" w:cs="仿宋"/>
          <w:i w:val="0"/>
          <w:iCs w:val="0"/>
          <w:caps w:val="0"/>
          <w:color w:val="3D3D3D"/>
          <w:spacing w:val="0"/>
          <w:sz w:val="32"/>
          <w:szCs w:val="32"/>
          <w:u w:val="none"/>
          <w:bdr w:val="none" w:color="auto" w:sz="0" w:space="0"/>
          <w:shd w:val="clear" w:fill="FFFFFF"/>
        </w:rPr>
        <w:t>研究确定并公示的方式遴选承办单位。</w:t>
      </w:r>
    </w:p>
    <w:p w14:paraId="5FCD38B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楷体" w:hAnsi="楷体" w:eastAsia="楷体" w:cs="楷体"/>
          <w:b/>
          <w:bCs/>
          <w:i w:val="0"/>
          <w:iCs w:val="0"/>
          <w:caps w:val="0"/>
          <w:color w:val="3D3D3D"/>
          <w:spacing w:val="0"/>
          <w:sz w:val="32"/>
          <w:szCs w:val="32"/>
          <w:u w:val="none"/>
          <w:shd w:val="clear" w:fill="FFFFFF"/>
        </w:rPr>
      </w:pPr>
      <w:r>
        <w:rPr>
          <w:rFonts w:hint="eastAsia" w:ascii="楷体" w:hAnsi="楷体" w:eastAsia="楷体" w:cs="楷体"/>
          <w:b/>
          <w:bCs/>
          <w:i w:val="0"/>
          <w:iCs w:val="0"/>
          <w:caps w:val="0"/>
          <w:color w:val="3D3D3D"/>
          <w:spacing w:val="0"/>
          <w:sz w:val="32"/>
          <w:szCs w:val="32"/>
          <w:u w:val="none"/>
          <w:shd w:val="clear" w:fill="FFFFFF"/>
        </w:rPr>
        <w:t>（四）补贴范围及标准</w:t>
      </w:r>
    </w:p>
    <w:p w14:paraId="3517813F">
      <w:pPr>
        <w:pStyle w:val="5"/>
        <w:shd w:val="clear" w:color="auto" w:fill="FFFFFF"/>
        <w:spacing w:before="0" w:beforeAutospacing="0" w:after="0" w:afterAutospacing="0" w:line="560" w:lineRule="exact"/>
        <w:ind w:firstLine="643" w:firstLineChars="200"/>
        <w:jc w:val="both"/>
        <w:rPr>
          <w:rFonts w:ascii="仿宋_GB2312" w:eastAsia="仿宋_GB2312"/>
          <w:color w:val="3D3D3D"/>
          <w:sz w:val="32"/>
          <w:szCs w:val="32"/>
        </w:rPr>
      </w:pPr>
      <w:r>
        <w:rPr>
          <w:rFonts w:hint="eastAsia" w:ascii="仿宋" w:hAnsi="仿宋" w:eastAsia="仿宋" w:cs="仿宋"/>
          <w:b/>
          <w:bCs/>
          <w:i w:val="0"/>
          <w:iCs w:val="0"/>
          <w:caps w:val="0"/>
          <w:color w:val="3D3D3D"/>
          <w:spacing w:val="0"/>
          <w:sz w:val="32"/>
          <w:szCs w:val="32"/>
          <w:u w:val="none"/>
          <w:bdr w:val="none" w:color="auto" w:sz="0" w:space="0"/>
          <w:shd w:val="clear" w:fill="FFFFFF"/>
        </w:rPr>
        <w:t>1.家电类：</w:t>
      </w:r>
      <w:r>
        <w:rPr>
          <w:rFonts w:hint="eastAsia" w:ascii="仿宋_GB2312" w:eastAsia="仿宋_GB2312"/>
          <w:color w:val="3D3D3D"/>
          <w:sz w:val="32"/>
          <w:szCs w:val="32"/>
        </w:rPr>
        <w:t>对个人消费者购买1级能效或水效标准冰箱（含冰柜、冷柜、冰吧）、洗衣机（含洗烘一体机、烘干机）、电视（含投影仪）、空调（含家用中央空调、风管机、地源热泵、空气源热泵）、电脑（含笔记本、台式机）、热水器（含电热水器、燃气热水器、壁挂炉、电暖气</w:t>
      </w:r>
      <w:r>
        <w:rPr>
          <w:rFonts w:hint="eastAsia" w:ascii="仿宋_GB2312" w:eastAsia="仿宋_GB2312"/>
          <w:color w:val="3D3D3D"/>
          <w:sz w:val="32"/>
          <w:szCs w:val="32"/>
          <w:lang w:eastAsia="zh-CN"/>
        </w:rPr>
        <w:t>、空气能热泵</w:t>
      </w:r>
      <w:r>
        <w:rPr>
          <w:rFonts w:hint="eastAsia" w:ascii="仿宋_GB2312" w:eastAsia="仿宋_GB2312"/>
          <w:color w:val="3D3D3D"/>
          <w:sz w:val="32"/>
          <w:szCs w:val="32"/>
        </w:rPr>
        <w:t>）、家用灶具（含集成灶、电磁炉）、吸油烟机等8类家电产品（以下简称“8类家电”），按照剔除所有折扣优惠后成交价格的20%予以补贴，每人每类可补贴1件，每件补贴不超过2000元；购买2级能效或水效标准“8类电家”的，按照剔除所有折扣优惠后成交价格的15%予以补贴；购买3级及以下能效或水效标准“8类电家”的，按照剔除所有折扣优惠后成交价格的13%予以补贴，每人每类可补贴1件，每件补贴不超过2000元。</w:t>
      </w:r>
    </w:p>
    <w:p w14:paraId="2954685F">
      <w:pPr>
        <w:pStyle w:val="5"/>
        <w:shd w:val="clear" w:color="auto" w:fill="FFFFFF"/>
        <w:spacing w:before="0" w:beforeAutospacing="0" w:after="0" w:afterAutospacing="0" w:line="560" w:lineRule="exact"/>
        <w:ind w:firstLine="640" w:firstLineChars="200"/>
        <w:jc w:val="both"/>
        <w:rPr>
          <w:rFonts w:hint="eastAsia" w:ascii="仿宋_GB2312" w:eastAsia="仿宋_GB2312"/>
          <w:color w:val="3D3D3D"/>
          <w:sz w:val="32"/>
          <w:szCs w:val="32"/>
        </w:rPr>
      </w:pPr>
      <w:r>
        <w:rPr>
          <w:rFonts w:hint="eastAsia" w:ascii="仿宋_GB2312" w:eastAsia="仿宋_GB2312"/>
          <w:color w:val="3D3D3D"/>
          <w:sz w:val="32"/>
          <w:szCs w:val="32"/>
        </w:rPr>
        <w:t>对个人消费者购买净水器、按摩椅（含按摩器）、电烤箱（含微波炉、空气炸锅）、破壁机（含榨汁机、</w:t>
      </w:r>
      <w:r>
        <w:rPr>
          <w:rFonts w:hint="eastAsia" w:ascii="仿宋_GB2312" w:eastAsia="仿宋_GB2312"/>
          <w:color w:val="3D3D3D"/>
          <w:sz w:val="32"/>
          <w:szCs w:val="32"/>
          <w:lang w:eastAsia="zh-CN"/>
        </w:rPr>
        <w:t>破壁机、</w:t>
      </w:r>
      <w:r>
        <w:rPr>
          <w:rFonts w:hint="eastAsia" w:ascii="仿宋_GB2312" w:eastAsia="仿宋_GB2312"/>
          <w:color w:val="3D3D3D"/>
          <w:sz w:val="32"/>
          <w:szCs w:val="32"/>
        </w:rPr>
        <w:t>豆浆机、绞肉机）、</w:t>
      </w:r>
      <w:r>
        <w:rPr>
          <w:rFonts w:hint="eastAsia" w:ascii="仿宋" w:hAnsi="仿宋" w:eastAsia="仿宋" w:cs="仿宋"/>
          <w:color w:val="464646"/>
          <w:w w:val="99"/>
          <w:sz w:val="32"/>
          <w:szCs w:val="32"/>
        </w:rPr>
        <w:t>清洁器（含洗碗机、洗地机、扫地机器人、吸尘</w:t>
      </w:r>
      <w:r>
        <w:rPr>
          <w:rFonts w:hint="eastAsia" w:ascii="仿宋" w:hAnsi="仿宋" w:eastAsia="仿宋" w:cs="仿宋"/>
          <w:color w:val="464646"/>
          <w:spacing w:val="1"/>
          <w:w w:val="97"/>
          <w:sz w:val="32"/>
          <w:szCs w:val="32"/>
        </w:rPr>
        <w:t>器）、电饭赁（含电压力锅）、电吹风、学习机（含游戏机）等</w:t>
      </w:r>
      <w:r>
        <w:rPr>
          <w:rFonts w:hint="eastAsia" w:ascii="仿宋" w:hAnsi="仿宋" w:eastAsia="仿宋" w:cs="仿宋"/>
          <w:color w:val="464646"/>
          <w:w w:val="97"/>
          <w:sz w:val="32"/>
          <w:szCs w:val="32"/>
        </w:rPr>
        <w:t>8小类家电，按照销售价格（产品剔除所有折扣优惠后的成交价格）</w:t>
      </w:r>
      <w:r>
        <w:rPr>
          <w:rFonts w:hint="eastAsia" w:ascii="仿宋" w:hAnsi="仿宋" w:eastAsia="仿宋" w:cs="仿宋"/>
          <w:color w:val="464646"/>
          <w:w w:val="106"/>
          <w:sz w:val="32"/>
          <w:szCs w:val="32"/>
        </w:rPr>
        <w:t>的13％予以补贴，每人每类可补贴</w:t>
      </w:r>
      <w:r>
        <w:rPr>
          <w:rFonts w:hint="eastAsia" w:ascii="仿宋" w:hAnsi="仿宋" w:eastAsia="仿宋" w:cs="仿宋"/>
          <w:color w:val="464646"/>
          <w:spacing w:val="-1"/>
          <w:w w:val="106"/>
          <w:sz w:val="32"/>
          <w:szCs w:val="32"/>
        </w:rPr>
        <w:t>l</w:t>
      </w:r>
      <w:r>
        <w:rPr>
          <w:rFonts w:hint="eastAsia" w:ascii="仿宋" w:hAnsi="仿宋" w:eastAsia="仿宋" w:cs="仿宋"/>
          <w:color w:val="464646"/>
          <w:w w:val="106"/>
          <w:sz w:val="32"/>
          <w:szCs w:val="32"/>
        </w:rPr>
        <w:t>件，每件补贴不超过2000</w:t>
      </w:r>
      <w:r>
        <w:rPr>
          <w:rFonts w:hint="eastAsia" w:ascii="仿宋" w:hAnsi="仿宋" w:eastAsia="仿宋" w:cs="仿宋"/>
          <w:color w:val="464646"/>
          <w:w w:val="88"/>
          <w:sz w:val="32"/>
          <w:szCs w:val="32"/>
        </w:rPr>
        <w:t>元。</w:t>
      </w:r>
    </w:p>
    <w:p w14:paraId="0AE40B1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b/>
          <w:bCs/>
          <w:i w:val="0"/>
          <w:iCs w:val="0"/>
          <w:caps w:val="0"/>
          <w:color w:val="3D3D3D"/>
          <w:spacing w:val="0"/>
          <w:sz w:val="32"/>
          <w:szCs w:val="32"/>
          <w:u w:val="none"/>
          <w:bdr w:val="none" w:color="auto" w:sz="0" w:space="0"/>
          <w:shd w:val="clear" w:fill="FFFFFF"/>
        </w:rPr>
        <w:t>2.家装类：</w:t>
      </w:r>
      <w:r>
        <w:rPr>
          <w:rFonts w:hint="eastAsia" w:ascii="仿宋" w:hAnsi="仿宋" w:eastAsia="仿宋" w:cs="仿宋"/>
          <w:color w:val="484848"/>
          <w:w w:val="99"/>
          <w:sz w:val="32"/>
          <w:szCs w:val="32"/>
        </w:rPr>
        <w:t>对自住房装修改造（含局改、适老化改造）进行补贴。对购买符合要求装修产品和材料的，包括：成品家具、定制化家具、卫浴洁具、门窗、智能锁、适老化（无障碍）环境改善产品、热</w:t>
      </w:r>
      <w:r>
        <w:rPr>
          <w:rFonts w:hint="eastAsia" w:ascii="仿宋" w:hAnsi="仿宋" w:eastAsia="仿宋" w:cs="仿宋"/>
          <w:color w:val="484848"/>
          <w:w w:val="97"/>
          <w:sz w:val="32"/>
          <w:szCs w:val="32"/>
        </w:rPr>
        <w:t>交换产品等七类产品，销售价格（剔除所有折扣优惠后成交价格</w:t>
      </w:r>
      <w:r>
        <w:rPr>
          <w:rFonts w:hint="eastAsia" w:ascii="仿宋" w:hAnsi="仿宋" w:eastAsia="仿宋" w:cs="仿宋"/>
          <w:color w:val="484848"/>
          <w:spacing w:val="-18"/>
          <w:w w:val="97"/>
          <w:sz w:val="32"/>
          <w:szCs w:val="32"/>
        </w:rPr>
        <w:t>）</w:t>
      </w:r>
      <w:r>
        <w:rPr>
          <w:rFonts w:hint="eastAsia" w:ascii="仿宋" w:hAnsi="仿宋" w:eastAsia="仿宋" w:cs="仿宋"/>
          <w:color w:val="484848"/>
          <w:w w:val="101"/>
          <w:sz w:val="32"/>
          <w:szCs w:val="32"/>
        </w:rPr>
        <w:t>的15％比例予以补贴，每位消费者每类产品可补贴1次，每类补</w:t>
      </w:r>
      <w:r>
        <w:rPr>
          <w:rFonts w:hint="eastAsia" w:ascii="仿宋" w:hAnsi="仿宋" w:eastAsia="仿宋" w:cs="仿宋"/>
          <w:color w:val="484848"/>
          <w:spacing w:val="2"/>
          <w:w w:val="113"/>
          <w:sz w:val="32"/>
          <w:szCs w:val="32"/>
        </w:rPr>
        <w:t>贴不超过</w:t>
      </w:r>
      <w:r>
        <w:rPr>
          <w:rFonts w:hint="eastAsia" w:ascii="仿宋" w:hAnsi="仿宋" w:eastAsia="仿宋" w:cs="仿宋"/>
          <w:color w:val="484848"/>
          <w:spacing w:val="1"/>
          <w:w w:val="113"/>
          <w:sz w:val="32"/>
          <w:szCs w:val="32"/>
        </w:rPr>
        <w:t>2000元。</w:t>
      </w:r>
    </w:p>
    <w:p w14:paraId="6D217FF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color w:val="444444"/>
          <w:spacing w:val="1"/>
          <w:w w:val="103"/>
          <w:sz w:val="32"/>
          <w:szCs w:val="32"/>
        </w:rPr>
      </w:pPr>
      <w:r>
        <w:rPr>
          <w:rFonts w:hint="eastAsia" w:ascii="仿宋" w:hAnsi="仿宋" w:eastAsia="仿宋" w:cs="仿宋"/>
          <w:b/>
          <w:bCs/>
          <w:i w:val="0"/>
          <w:iCs w:val="0"/>
          <w:caps w:val="0"/>
          <w:color w:val="3D3D3D"/>
          <w:spacing w:val="0"/>
          <w:sz w:val="32"/>
          <w:szCs w:val="32"/>
          <w:u w:val="none"/>
          <w:bdr w:val="none" w:color="auto" w:sz="0" w:space="0"/>
          <w:shd w:val="clear" w:fill="FFFFFF"/>
        </w:rPr>
        <w:t>3.电动自行车类：</w:t>
      </w:r>
      <w:r>
        <w:rPr>
          <w:rFonts w:hint="eastAsia" w:ascii="仿宋" w:hAnsi="仿宋" w:eastAsia="仿宋" w:cs="仿宋"/>
          <w:color w:val="444444"/>
          <w:spacing w:val="-1"/>
          <w:w w:val="103"/>
          <w:sz w:val="32"/>
          <w:szCs w:val="32"/>
        </w:rPr>
        <w:t>对将个人名下老旧电动自行车交回并换购电动自行车新车</w:t>
      </w:r>
      <w:r>
        <w:rPr>
          <w:rFonts w:hint="eastAsia" w:ascii="仿宋" w:hAnsi="仿宋" w:eastAsia="仿宋" w:cs="仿宋"/>
          <w:color w:val="444444"/>
          <w:w w:val="99"/>
          <w:sz w:val="32"/>
          <w:szCs w:val="32"/>
        </w:rPr>
        <w:t>的消费者予以补贴。其中，对交回老旧电动自行车，并购买新国标铅酸电池电动自行车新车的，按照产品销售价格（剔除所有折</w:t>
      </w:r>
      <w:r>
        <w:rPr>
          <w:rFonts w:hint="eastAsia" w:ascii="仿宋" w:hAnsi="仿宋" w:eastAsia="仿宋" w:cs="仿宋"/>
          <w:color w:val="444444"/>
          <w:w w:val="101"/>
          <w:sz w:val="32"/>
          <w:szCs w:val="32"/>
        </w:rPr>
        <w:t>扣优惠后成交价格）的20％补贴，每辆补贴不超过500元；对交</w:t>
      </w:r>
      <w:r>
        <w:rPr>
          <w:rFonts w:hint="eastAsia" w:ascii="仿宋" w:hAnsi="仿宋" w:eastAsia="仿宋" w:cs="仿宋"/>
          <w:color w:val="444444"/>
          <w:w w:val="99"/>
          <w:sz w:val="32"/>
          <w:szCs w:val="32"/>
        </w:rPr>
        <w:t>回老旧电动自行车，并购买俚离子电池电动自行车新车的，按照</w:t>
      </w:r>
      <w:r>
        <w:rPr>
          <w:rFonts w:hint="eastAsia" w:ascii="仿宋" w:hAnsi="仿宋" w:eastAsia="仿宋" w:cs="仿宋"/>
          <w:color w:val="444444"/>
          <w:spacing w:val="2"/>
          <w:w w:val="103"/>
          <w:sz w:val="32"/>
          <w:szCs w:val="32"/>
        </w:rPr>
        <w:t>产品销售价格的</w:t>
      </w:r>
      <w:r>
        <w:rPr>
          <w:rFonts w:hint="eastAsia" w:ascii="仿宋" w:hAnsi="仿宋" w:eastAsia="仿宋" w:cs="仿宋"/>
          <w:color w:val="444444"/>
          <w:spacing w:val="1"/>
          <w:w w:val="103"/>
          <w:sz w:val="32"/>
          <w:szCs w:val="32"/>
        </w:rPr>
        <w:t>10</w:t>
      </w:r>
      <w:r>
        <w:rPr>
          <w:rFonts w:hint="eastAsia" w:ascii="仿宋" w:hAnsi="仿宋" w:eastAsia="仿宋" w:cs="仿宋"/>
          <w:color w:val="444444"/>
          <w:spacing w:val="2"/>
          <w:w w:val="103"/>
          <w:sz w:val="32"/>
          <w:szCs w:val="32"/>
        </w:rPr>
        <w:t>％补贴，每辆补贴不超过</w:t>
      </w:r>
      <w:r>
        <w:rPr>
          <w:rFonts w:hint="eastAsia" w:ascii="仿宋" w:hAnsi="仿宋" w:eastAsia="仿宋" w:cs="仿宋"/>
          <w:color w:val="444444"/>
          <w:spacing w:val="1"/>
          <w:w w:val="103"/>
          <w:sz w:val="32"/>
          <w:szCs w:val="32"/>
        </w:rPr>
        <w:t>300元。</w:t>
      </w:r>
    </w:p>
    <w:p w14:paraId="4A0079F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color w:val="444444"/>
          <w:w w:val="92"/>
          <w:sz w:val="32"/>
          <w:szCs w:val="32"/>
        </w:rPr>
      </w:pPr>
      <w:r>
        <w:rPr>
          <w:rFonts w:hint="eastAsia" w:ascii="仿宋" w:hAnsi="仿宋" w:eastAsia="仿宋" w:cs="仿宋"/>
          <w:color w:val="444444"/>
          <w:w w:val="99"/>
          <w:sz w:val="32"/>
          <w:szCs w:val="32"/>
        </w:rPr>
        <w:t>换购俚离子电池电动自行车新车的，其电池应符合《电动自</w:t>
      </w:r>
      <w:r>
        <w:rPr>
          <w:rFonts w:hint="eastAsia" w:ascii="仿宋" w:hAnsi="仿宋" w:eastAsia="仿宋" w:cs="仿宋"/>
          <w:color w:val="444444"/>
          <w:spacing w:val="1"/>
          <w:w w:val="105"/>
          <w:sz w:val="32"/>
          <w:szCs w:val="32"/>
        </w:rPr>
        <w:t>行车用俚离子蓄电池安全技术规范》</w:t>
      </w:r>
      <w:r>
        <w:rPr>
          <w:rFonts w:hint="eastAsia" w:ascii="仿宋" w:hAnsi="仿宋" w:eastAsia="仿宋" w:cs="仿宋"/>
          <w:color w:val="444444"/>
          <w:w w:val="105"/>
          <w:sz w:val="32"/>
          <w:szCs w:val="32"/>
        </w:rPr>
        <w:t>(0B43854)标准要求。鼓</w:t>
      </w:r>
      <w:r>
        <w:rPr>
          <w:rFonts w:hint="eastAsia" w:ascii="仿宋" w:hAnsi="仿宋" w:eastAsia="仿宋" w:cs="仿宋"/>
          <w:color w:val="444444"/>
          <w:w w:val="99"/>
          <w:sz w:val="32"/>
          <w:szCs w:val="32"/>
        </w:rPr>
        <w:t>励购买符合《电动自行车行业规范条件》企业生产的合格电动自</w:t>
      </w:r>
      <w:r>
        <w:rPr>
          <w:rFonts w:hint="eastAsia" w:ascii="仿宋" w:hAnsi="仿宋" w:eastAsia="仿宋" w:cs="仿宋"/>
          <w:color w:val="444444"/>
          <w:w w:val="92"/>
          <w:sz w:val="32"/>
          <w:szCs w:val="32"/>
        </w:rPr>
        <w:t>行车新车。</w:t>
      </w:r>
    </w:p>
    <w:p w14:paraId="2E8A6C7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楷体" w:hAnsi="楷体" w:eastAsia="楷体" w:cs="楷体"/>
          <w:b/>
          <w:bCs/>
          <w:i w:val="0"/>
          <w:iCs w:val="0"/>
          <w:caps w:val="0"/>
          <w:color w:val="333333"/>
          <w:spacing w:val="0"/>
          <w:sz w:val="32"/>
          <w:szCs w:val="32"/>
          <w:u w:val="none"/>
        </w:rPr>
      </w:pPr>
      <w:r>
        <w:rPr>
          <w:rFonts w:hint="eastAsia" w:ascii="楷体" w:hAnsi="楷体" w:eastAsia="楷体" w:cs="楷体"/>
          <w:b/>
          <w:bCs/>
          <w:i w:val="0"/>
          <w:iCs w:val="0"/>
          <w:caps w:val="0"/>
          <w:color w:val="3D3D3D"/>
          <w:spacing w:val="0"/>
          <w:sz w:val="32"/>
          <w:szCs w:val="32"/>
          <w:u w:val="none"/>
          <w:bdr w:val="none" w:color="auto" w:sz="0" w:space="0"/>
          <w:shd w:val="clear" w:fill="FFFFFF"/>
        </w:rPr>
        <w:t>（五）补贴方式</w:t>
      </w:r>
    </w:p>
    <w:p w14:paraId="61D7FE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对符合条件的个人消费者购买活动范围内商品时，按照实际销售价格在支付环节享受补贴。补贴资金暂由承办单位垫付。承办单位按要求完成相关票证上传且经审核无误后，平台定期将补贴款发放给垫付单位。</w:t>
      </w:r>
    </w:p>
    <w:p w14:paraId="3FB908E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黑体" w:hAnsi="黑体" w:eastAsia="黑体" w:cs="黑体"/>
          <w:i w:val="0"/>
          <w:iCs w:val="0"/>
          <w:caps w:val="0"/>
          <w:color w:val="333333"/>
          <w:spacing w:val="0"/>
          <w:sz w:val="32"/>
          <w:szCs w:val="32"/>
          <w:u w:val="none"/>
        </w:rPr>
      </w:pPr>
      <w:r>
        <w:rPr>
          <w:rFonts w:hint="eastAsia" w:ascii="黑体" w:hAnsi="黑体" w:eastAsia="黑体" w:cs="黑体"/>
          <w:i w:val="0"/>
          <w:iCs w:val="0"/>
          <w:caps w:val="0"/>
          <w:color w:val="3D3D3D"/>
          <w:spacing w:val="0"/>
          <w:sz w:val="32"/>
          <w:szCs w:val="32"/>
          <w:u w:val="none"/>
          <w:bdr w:val="none" w:color="auto" w:sz="0" w:space="0"/>
          <w:shd w:val="clear" w:fill="FFFFFF"/>
        </w:rPr>
        <w:t>二、申报条件</w:t>
      </w:r>
    </w:p>
    <w:p w14:paraId="1E64428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（一）从事家电、家装、电动自行车商品销售业务，</w:t>
      </w:r>
      <w:r>
        <w:rPr>
          <w:rFonts w:hint="eastAsia" w:ascii="仿宋" w:hAnsi="仿宋" w:eastAsia="仿宋" w:cs="仿宋"/>
          <w:i w:val="0"/>
          <w:iCs w:val="0"/>
          <w:caps w:val="0"/>
          <w:color w:val="333333"/>
          <w:spacing w:val="0"/>
          <w:sz w:val="32"/>
          <w:szCs w:val="32"/>
          <w:u w:val="none"/>
          <w:bdr w:val="none" w:color="auto" w:sz="0" w:space="0"/>
          <w:shd w:val="clear" w:fill="FFFFFF"/>
        </w:rPr>
        <w:t>具有一定规模、能够</w:t>
      </w:r>
      <w:r>
        <w:rPr>
          <w:rFonts w:hint="eastAsia" w:ascii="仿宋" w:hAnsi="仿宋" w:eastAsia="仿宋" w:cs="仿宋"/>
          <w:i w:val="0"/>
          <w:iCs w:val="0"/>
          <w:caps w:val="0"/>
          <w:color w:val="3D3D3D"/>
          <w:spacing w:val="0"/>
          <w:sz w:val="32"/>
          <w:szCs w:val="32"/>
          <w:u w:val="none"/>
          <w:bdr w:val="none" w:color="auto" w:sz="0" w:space="0"/>
          <w:shd w:val="clear" w:fill="FFFFFF"/>
        </w:rPr>
        <w:t>依法纳税，经营良好，财务制度健全，具备较好</w:t>
      </w:r>
      <w:r>
        <w:rPr>
          <w:rFonts w:hint="eastAsia" w:ascii="仿宋" w:hAnsi="仿宋" w:eastAsia="仿宋" w:cs="仿宋"/>
          <w:i w:val="0"/>
          <w:iCs w:val="0"/>
          <w:caps w:val="0"/>
          <w:color w:val="333333"/>
          <w:spacing w:val="0"/>
          <w:sz w:val="32"/>
          <w:szCs w:val="32"/>
          <w:u w:val="none"/>
          <w:bdr w:val="none" w:color="auto" w:sz="0" w:space="0"/>
          <w:shd w:val="clear" w:fill="FFFFFF"/>
        </w:rPr>
        <w:t>成长性</w:t>
      </w:r>
      <w:r>
        <w:rPr>
          <w:rFonts w:hint="eastAsia" w:ascii="仿宋" w:hAnsi="仿宋" w:eastAsia="仿宋" w:cs="仿宋"/>
          <w:i w:val="0"/>
          <w:iCs w:val="0"/>
          <w:caps w:val="0"/>
          <w:color w:val="3D3D3D"/>
          <w:spacing w:val="0"/>
          <w:sz w:val="32"/>
          <w:szCs w:val="32"/>
          <w:u w:val="none"/>
          <w:bdr w:val="none" w:color="auto" w:sz="0" w:space="0"/>
          <w:shd w:val="clear" w:fill="FFFFFF"/>
        </w:rPr>
        <w:t>的线下实体或电商企业。</w:t>
      </w:r>
    </w:p>
    <w:p w14:paraId="0215189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二）具备补贴发放和核销能力，能对消费者进行实名认证，能够与消费品以旧换新补贴活动平台实现对接。提前在县（市、区）商务主管部门和河北省消费品以旧换新活动承办平台（家电类承办平台为银联商务股份有限公司河北分公司、家装和电动自行车类承办平台为中国农业银行股份有限公司河北省分行）完成参与补贴活动的商品品类和价格“双备案”。</w:t>
      </w:r>
    </w:p>
    <w:p w14:paraId="3E1D628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三）具备对符合活动条件的销售订单进行不少于10个工作日的补贴资金垫付能力。对退货的补贴商品，能在3个工作日内将所退商品的补贴款退回补贴活动平台资金管理账户。自愿接受政府相关部门及委派的第三方机构对本次活动进行监督、审计，并同意以审计结果作为补贴申请的最终依据。在政府补贴之外还自主配套补贴，政企补贴能相互叠加使用。</w:t>
      </w:r>
    </w:p>
    <w:p w14:paraId="3E341A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（四）家电和电动自行车经销单位能够自身或通过与在商务部业务系统统一平台已备案的回收企业开展合作，具备家电和电动自行车旧货回收和新品安装能力，能够做到账物一致、账目清晰。</w:t>
      </w:r>
    </w:p>
    <w:p w14:paraId="0E11557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五）具备完善的后台订单管理系统，能够开具合规发票，开设有对公账户。活动台账清晰完善，包括但不限于销售发票、消费者购买清单（含消费者姓名、身份证号、联系电话、购买产品名称及编码、销售额及补贴额等），并于活动结束后及时报送至辖区商务部门备案。</w:t>
      </w:r>
    </w:p>
    <w:p w14:paraId="0A4026A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六）电动自行车经销单位与生产企业有稳定的产销合作关系，有严格的商品进货质量保障体系。在卖场区域安装摄像头，设电子秤及符合防火、防爆等安全生产要求的锂离子蓄电池、铅酸蓄电池临时存放点，并配备消防器材。具备上牌资格。</w:t>
      </w:r>
    </w:p>
    <w:p w14:paraId="6550CC8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七）承办单位组建有专门服务团队，开展政策宣传，受理群众咨询和投诉，组织旧货回收和新品销售等具体工作。除在经销区域内开展经授权的政策宣传外，每月要通过多种形式，组织以旧换新商品展示展销大集，推动新品进公园、进广场、进社区、进农村，吸引更多消费者承办活动。</w:t>
      </w:r>
    </w:p>
    <w:p w14:paraId="57797C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（八）具备防范骗补、套补等行为能力。近三年内无重大违法违规和失信记录。未发生较大及以上安全生产事故。</w:t>
      </w:r>
    </w:p>
    <w:p w14:paraId="6F8074C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黑体" w:hAnsi="黑体" w:eastAsia="黑体" w:cs="黑体"/>
          <w:i w:val="0"/>
          <w:iCs w:val="0"/>
          <w:caps w:val="0"/>
          <w:color w:val="333333"/>
          <w:spacing w:val="0"/>
          <w:sz w:val="32"/>
          <w:szCs w:val="32"/>
          <w:u w:val="none"/>
        </w:rPr>
      </w:pPr>
      <w:r>
        <w:rPr>
          <w:rFonts w:hint="eastAsia" w:ascii="黑体" w:hAnsi="黑体" w:eastAsia="黑体" w:cs="黑体"/>
          <w:i w:val="0"/>
          <w:iCs w:val="0"/>
          <w:caps w:val="0"/>
          <w:color w:val="3D3D3D"/>
          <w:spacing w:val="0"/>
          <w:sz w:val="32"/>
          <w:szCs w:val="32"/>
          <w:u w:val="none"/>
          <w:bdr w:val="none" w:color="auto" w:sz="0" w:space="0"/>
          <w:shd w:val="clear" w:fill="FFFFFF"/>
        </w:rPr>
        <w:t>三、申报材料</w:t>
      </w:r>
    </w:p>
    <w:p w14:paraId="3A3E32C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区分家电、家装和电动自行车三类分别组织申报，允许一个单位报多类（如有的卖场同时经营家装、家电，可以分别申报）。申报单位每类材料一式两份，按顺序装订成册，分别加盖单位公章，整体材料加盖骑缝章。全套盖章纸质申报材料还须扫描PDF电子版一并提交。申报材料不予退回。</w:t>
      </w:r>
    </w:p>
    <w:p w14:paraId="1C7BF31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1.消费品以旧换新补贴活动承办单位报名表（附件1）。</w:t>
      </w:r>
    </w:p>
    <w:p w14:paraId="21F6AD5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2.活动承办单位门店申报表（附件2）</w:t>
      </w:r>
    </w:p>
    <w:p w14:paraId="14D58CA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3.参加活动商品品类及价格备案表（附件3）</w:t>
      </w:r>
    </w:p>
    <w:p w14:paraId="4BB9209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4.单位情况介绍（包括主营商品的品牌品类、直营或连锁门店分布、自主配套的补贴让利安排、组建专业团队负责以旧换新工作等情况），营业执照复印件，法人或负责人身份证（正反面）复印件，银行开户许可证复印件，2023年度完税证明和财务审计报告或财务报表。以上材料需完整齐全，均加盖单位公章。</w:t>
      </w:r>
    </w:p>
    <w:p w14:paraId="2C9400A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5.“信用中国”等官方网站(www.creditchina.gov.cn)下载的信用记录或中国政府采购网(www.ccgp.gov.cn)下载的“政府采购严重违法失信行为信息记录”结果截图。</w:t>
      </w:r>
    </w:p>
    <w:p w14:paraId="589058E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6.活动方案</w:t>
      </w:r>
      <w:r>
        <w:rPr>
          <w:rFonts w:hint="eastAsia" w:ascii="仿宋" w:hAnsi="仿宋" w:eastAsia="仿宋" w:cs="仿宋"/>
          <w:i w:val="0"/>
          <w:iCs w:val="0"/>
          <w:caps w:val="0"/>
          <w:color w:val="333333"/>
          <w:spacing w:val="0"/>
          <w:sz w:val="32"/>
          <w:szCs w:val="32"/>
          <w:u w:val="none"/>
          <w:bdr w:val="none" w:color="auto" w:sz="0" w:space="0"/>
          <w:shd w:val="clear" w:fill="FFFFFF"/>
        </w:rPr>
        <w:t>（必须含进乡镇、街道，进乡村、社区并开展宣传活动内容）</w:t>
      </w:r>
      <w:r>
        <w:rPr>
          <w:rFonts w:hint="eastAsia" w:ascii="仿宋" w:hAnsi="仿宋" w:eastAsia="仿宋" w:cs="仿宋"/>
          <w:i w:val="0"/>
          <w:iCs w:val="0"/>
          <w:caps w:val="0"/>
          <w:color w:val="3D3D3D"/>
          <w:spacing w:val="0"/>
          <w:sz w:val="32"/>
          <w:szCs w:val="32"/>
          <w:u w:val="none"/>
          <w:bdr w:val="none" w:color="auto" w:sz="0" w:space="0"/>
          <w:shd w:val="clear" w:fill="FFFFFF"/>
        </w:rPr>
        <w:t>，包括自身促销举措、以旧换新措施、风险管控措施、包括对骗补、套补等行为的管控措施等。</w:t>
      </w:r>
    </w:p>
    <w:p w14:paraId="6A60B6C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rPr>
        <w:t>7.家电和电动自行车经销单位还需提供危废物</w:t>
      </w:r>
      <w:r>
        <w:rPr>
          <w:rFonts w:hint="eastAsia" w:ascii="仿宋" w:hAnsi="仿宋" w:eastAsia="仿宋" w:cs="仿宋"/>
          <w:i w:val="0"/>
          <w:iCs w:val="0"/>
          <w:caps w:val="0"/>
          <w:color w:val="333333"/>
          <w:spacing w:val="0"/>
          <w:sz w:val="32"/>
          <w:szCs w:val="32"/>
          <w:u w:val="none"/>
          <w:bdr w:val="none" w:color="auto" w:sz="0" w:space="0"/>
          <w:shd w:val="clear" w:fill="FFFFFF"/>
        </w:rPr>
        <w:t>回收资质证书或与有相关资质的回收企业签订有效的长期合作协议（协议需加盖合作双方公章并提供合作单位回收资质）。</w:t>
      </w:r>
    </w:p>
    <w:p w14:paraId="4DBA7D5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黑体" w:hAnsi="黑体" w:eastAsia="黑体" w:cs="黑体"/>
          <w:i w:val="0"/>
          <w:iCs w:val="0"/>
          <w:caps w:val="0"/>
          <w:color w:val="333333"/>
          <w:spacing w:val="0"/>
          <w:sz w:val="32"/>
          <w:szCs w:val="32"/>
          <w:u w:val="none"/>
        </w:rPr>
      </w:pPr>
      <w:r>
        <w:rPr>
          <w:rFonts w:hint="eastAsia" w:ascii="黑体" w:hAnsi="黑体" w:eastAsia="黑体" w:cs="黑体"/>
          <w:i w:val="0"/>
          <w:iCs w:val="0"/>
          <w:caps w:val="0"/>
          <w:color w:val="3D3D3D"/>
          <w:spacing w:val="0"/>
          <w:sz w:val="32"/>
          <w:szCs w:val="32"/>
          <w:u w:val="none"/>
          <w:bdr w:val="none" w:color="auto" w:sz="0" w:space="0"/>
          <w:shd w:val="clear" w:fill="FFFFFF"/>
        </w:rPr>
        <w:t>四、申报流程</w:t>
      </w:r>
    </w:p>
    <w:p w14:paraId="3520E38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33333"/>
          <w:spacing w:val="0"/>
          <w:sz w:val="32"/>
          <w:szCs w:val="32"/>
          <w:u w:val="none"/>
          <w:bdr w:val="none" w:color="auto" w:sz="0" w:space="0"/>
          <w:shd w:val="clear" w:fill="FFFFFF"/>
        </w:rPr>
        <w:t>1.</w:t>
      </w:r>
      <w:r>
        <w:rPr>
          <w:rFonts w:hint="eastAsia" w:ascii="仿宋" w:hAnsi="仿宋" w:eastAsia="仿宋" w:cs="仿宋"/>
          <w:i w:val="0"/>
          <w:iCs w:val="0"/>
          <w:caps w:val="0"/>
          <w:color w:val="3D3D3D"/>
          <w:spacing w:val="0"/>
          <w:sz w:val="32"/>
          <w:szCs w:val="32"/>
          <w:u w:val="none"/>
          <w:bdr w:val="none" w:color="auto" w:sz="0" w:space="0"/>
          <w:shd w:val="clear" w:fill="FFFFFF"/>
        </w:rPr>
        <w:t>申报单位应于2024年10月2日12:00前按要求向注册地县发改和科技局提交申报材料。逾期不予受理。</w:t>
      </w:r>
    </w:p>
    <w:p w14:paraId="5DE2202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lang w:val="en-US" w:eastAsia="zh-CN"/>
        </w:rPr>
        <w:t>2</w:t>
      </w:r>
      <w:r>
        <w:rPr>
          <w:rFonts w:hint="eastAsia" w:ascii="仿宋" w:hAnsi="仿宋" w:eastAsia="仿宋" w:cs="仿宋"/>
          <w:i w:val="0"/>
          <w:iCs w:val="0"/>
          <w:caps w:val="0"/>
          <w:color w:val="3D3D3D"/>
          <w:spacing w:val="0"/>
          <w:sz w:val="32"/>
          <w:szCs w:val="32"/>
          <w:u w:val="none"/>
          <w:bdr w:val="none" w:color="auto" w:sz="0" w:space="0"/>
          <w:shd w:val="clear" w:fill="FFFFFF"/>
        </w:rPr>
        <w:t>.县发改和科技局联合相关部门对申报材料进行审核，研究确定本辖区承办活动单位，出具审核意见并盖章</w:t>
      </w:r>
      <w:r>
        <w:rPr>
          <w:rFonts w:hint="eastAsia" w:ascii="仿宋" w:hAnsi="仿宋" w:eastAsia="仿宋" w:cs="仿宋"/>
          <w:i w:val="0"/>
          <w:iCs w:val="0"/>
          <w:caps w:val="0"/>
          <w:color w:val="333333"/>
          <w:spacing w:val="0"/>
          <w:sz w:val="32"/>
          <w:szCs w:val="32"/>
          <w:u w:val="none"/>
          <w:bdr w:val="none" w:color="auto" w:sz="0" w:space="0"/>
          <w:shd w:val="clear" w:fill="FFFFFF"/>
        </w:rPr>
        <w:t>（附件1相应栏目填写是否同意并加盖部门公章）</w:t>
      </w:r>
      <w:r>
        <w:rPr>
          <w:rFonts w:hint="eastAsia" w:ascii="仿宋" w:hAnsi="仿宋" w:eastAsia="仿宋" w:cs="仿宋"/>
          <w:i w:val="0"/>
          <w:iCs w:val="0"/>
          <w:caps w:val="0"/>
          <w:color w:val="3D3D3D"/>
          <w:spacing w:val="0"/>
          <w:sz w:val="32"/>
          <w:szCs w:val="32"/>
          <w:u w:val="none"/>
          <w:bdr w:val="none" w:color="auto" w:sz="0" w:space="0"/>
          <w:shd w:val="clear" w:fill="FFFFFF"/>
        </w:rPr>
        <w:t>，于10月2日15:00前报送至市商务局。逾期不予受理。</w:t>
      </w:r>
    </w:p>
    <w:p w14:paraId="52B5921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rPr>
      </w:pPr>
      <w:r>
        <w:rPr>
          <w:rFonts w:hint="eastAsia" w:ascii="仿宋" w:hAnsi="仿宋" w:eastAsia="仿宋" w:cs="仿宋"/>
          <w:i w:val="0"/>
          <w:iCs w:val="0"/>
          <w:caps w:val="0"/>
          <w:color w:val="3D3D3D"/>
          <w:spacing w:val="0"/>
          <w:sz w:val="32"/>
          <w:szCs w:val="32"/>
          <w:u w:val="none"/>
          <w:bdr w:val="none" w:color="auto" w:sz="0" w:space="0"/>
          <w:shd w:val="clear" w:fill="FFFFFF"/>
          <w:lang w:val="en-US" w:eastAsia="zh-CN"/>
        </w:rPr>
        <w:t>3</w:t>
      </w:r>
      <w:r>
        <w:rPr>
          <w:rFonts w:hint="eastAsia" w:ascii="仿宋" w:hAnsi="仿宋" w:eastAsia="仿宋" w:cs="仿宋"/>
          <w:i w:val="0"/>
          <w:iCs w:val="0"/>
          <w:caps w:val="0"/>
          <w:color w:val="3D3D3D"/>
          <w:spacing w:val="0"/>
          <w:sz w:val="32"/>
          <w:szCs w:val="32"/>
          <w:u w:val="none"/>
          <w:bdr w:val="none" w:color="auto" w:sz="0" w:space="0"/>
          <w:shd w:val="clear" w:fill="FFFFFF"/>
        </w:rPr>
        <w:t>.市商务局</w:t>
      </w:r>
      <w:r>
        <w:rPr>
          <w:rFonts w:hint="eastAsia" w:ascii="仿宋" w:hAnsi="仿宋" w:eastAsia="仿宋" w:cs="仿宋"/>
          <w:i w:val="0"/>
          <w:iCs w:val="0"/>
          <w:caps w:val="0"/>
          <w:color w:val="3D3D3D"/>
          <w:spacing w:val="0"/>
          <w:sz w:val="32"/>
          <w:szCs w:val="32"/>
          <w:u w:val="none"/>
          <w:bdr w:val="none" w:color="auto" w:sz="0" w:space="0"/>
          <w:shd w:val="clear" w:fill="FFFFFF"/>
          <w:lang w:eastAsia="zh-CN"/>
        </w:rPr>
        <w:t>组织专家评审，</w:t>
      </w:r>
      <w:r>
        <w:rPr>
          <w:rFonts w:hint="eastAsia" w:ascii="仿宋" w:hAnsi="仿宋" w:eastAsia="仿宋" w:cs="仿宋"/>
          <w:i w:val="0"/>
          <w:iCs w:val="0"/>
          <w:caps w:val="0"/>
          <w:color w:val="3D3D3D"/>
          <w:spacing w:val="0"/>
          <w:sz w:val="32"/>
          <w:szCs w:val="32"/>
          <w:u w:val="none"/>
          <w:bdr w:val="none" w:color="auto" w:sz="0" w:space="0"/>
          <w:shd w:val="clear" w:fill="FFFFFF"/>
        </w:rPr>
        <w:t>对符合条件单位按程序研究后，</w:t>
      </w:r>
      <w:r>
        <w:rPr>
          <w:rFonts w:hint="eastAsia" w:ascii="仿宋" w:hAnsi="仿宋" w:eastAsia="仿宋" w:cs="仿宋"/>
          <w:i w:val="0"/>
          <w:iCs w:val="0"/>
          <w:caps w:val="0"/>
          <w:color w:val="333333"/>
          <w:spacing w:val="0"/>
          <w:sz w:val="32"/>
          <w:szCs w:val="32"/>
          <w:u w:val="none"/>
          <w:bdr w:val="none" w:color="auto" w:sz="0" w:space="0"/>
          <w:shd w:val="clear" w:fill="FFFFFF"/>
        </w:rPr>
        <w:t>通过保定市人民政府信息公开平台向社会公示</w:t>
      </w:r>
      <w:r>
        <w:rPr>
          <w:rFonts w:hint="eastAsia" w:ascii="仿宋" w:hAnsi="仿宋" w:eastAsia="仿宋" w:cs="仿宋"/>
          <w:i w:val="0"/>
          <w:iCs w:val="0"/>
          <w:caps w:val="0"/>
          <w:color w:val="333333"/>
          <w:spacing w:val="0"/>
          <w:sz w:val="32"/>
          <w:szCs w:val="32"/>
          <w:u w:val="none"/>
          <w:bdr w:val="none" w:color="auto" w:sz="0" w:space="0"/>
          <w:shd w:val="clear" w:fill="FFFFFF"/>
          <w:lang w:eastAsia="zh-CN"/>
        </w:rPr>
        <w:t>，</w:t>
      </w:r>
      <w:r>
        <w:rPr>
          <w:rFonts w:hint="eastAsia" w:ascii="仿宋" w:hAnsi="仿宋" w:eastAsia="仿宋" w:cs="仿宋"/>
          <w:i w:val="0"/>
          <w:iCs w:val="0"/>
          <w:caps w:val="0"/>
          <w:color w:val="333333"/>
          <w:spacing w:val="0"/>
          <w:sz w:val="32"/>
          <w:szCs w:val="32"/>
          <w:u w:val="none"/>
          <w:bdr w:val="none" w:color="auto" w:sz="0" w:space="0"/>
          <w:shd w:val="clear" w:fill="FFFFFF"/>
        </w:rPr>
        <w:t>公示无异议后确定承办单位，按要求开展活动。</w:t>
      </w:r>
    </w:p>
    <w:p w14:paraId="33925F4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bdr w:val="none" w:color="auto" w:sz="0" w:space="0"/>
          <w:shd w:val="clear" w:fill="FFFFFF"/>
        </w:rPr>
        <w:t>本公示最终解释权在县发改和科技局。内容如与上级政策要求不符，以上级政策</w:t>
      </w:r>
      <w:r>
        <w:rPr>
          <w:rFonts w:hint="eastAsia" w:ascii="仿宋" w:hAnsi="仿宋" w:eastAsia="仿宋" w:cs="仿宋"/>
          <w:i w:val="0"/>
          <w:iCs w:val="0"/>
          <w:caps w:val="0"/>
          <w:color w:val="333333"/>
          <w:spacing w:val="0"/>
          <w:sz w:val="32"/>
          <w:szCs w:val="32"/>
          <w:u w:val="none"/>
          <w:shd w:val="clear" w:fill="FFFFFF"/>
        </w:rPr>
        <w:t>为准。</w:t>
      </w:r>
    </w:p>
    <w:p w14:paraId="4FDD48A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rPr>
        <w:t>附件：</w:t>
      </w:r>
    </w:p>
    <w:p w14:paraId="317794F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rPr>
        <w:t>1.</w:t>
      </w:r>
      <w:r>
        <w:rPr>
          <w:rFonts w:hint="eastAsia" w:ascii="仿宋" w:hAnsi="仿宋" w:eastAsia="仿宋" w:cs="仿宋"/>
          <w:i w:val="0"/>
          <w:iCs w:val="0"/>
          <w:caps w:val="0"/>
          <w:color w:val="333333"/>
          <w:spacing w:val="0"/>
          <w:sz w:val="32"/>
          <w:szCs w:val="32"/>
          <w:u w:val="none"/>
          <w:shd w:val="clear" w:fill="FFFFFF"/>
        </w:rPr>
        <w:fldChar w:fldCharType="begin"/>
      </w:r>
      <w:r>
        <w:rPr>
          <w:rFonts w:hint="eastAsia" w:ascii="仿宋" w:hAnsi="仿宋" w:eastAsia="仿宋" w:cs="仿宋"/>
          <w:i w:val="0"/>
          <w:iCs w:val="0"/>
          <w:caps w:val="0"/>
          <w:color w:val="333333"/>
          <w:spacing w:val="0"/>
          <w:sz w:val="32"/>
          <w:szCs w:val="32"/>
          <w:u w:val="none"/>
          <w:shd w:val="clear" w:fill="FFFFFF"/>
        </w:rPr>
        <w:instrText xml:space="preserve"> HYPERLINK "https://jiyunlaishui.hebyun.com.cn/upload/file/2024/10/01/1727753972557028150.doc" \o "附件1：2024年XX市消费品以旧换新补贴活动承办单位报名表.doc" \t "https://jiyunlaishui.hebyun.com.cn/pages/2024/10/01/_self" </w:instrText>
      </w:r>
      <w:r>
        <w:rPr>
          <w:rFonts w:hint="eastAsia" w:ascii="仿宋" w:hAnsi="仿宋" w:eastAsia="仿宋" w:cs="仿宋"/>
          <w:i w:val="0"/>
          <w:iCs w:val="0"/>
          <w:caps w:val="0"/>
          <w:color w:val="333333"/>
          <w:spacing w:val="0"/>
          <w:sz w:val="32"/>
          <w:szCs w:val="32"/>
          <w:u w:val="none"/>
          <w:shd w:val="clear" w:fill="FFFFFF"/>
        </w:rPr>
        <w:fldChar w:fldCharType="separate"/>
      </w:r>
      <w:r>
        <w:rPr>
          <w:rFonts w:hint="eastAsia" w:ascii="仿宋" w:hAnsi="仿宋" w:eastAsia="仿宋" w:cs="仿宋"/>
          <w:i w:val="0"/>
          <w:iCs w:val="0"/>
          <w:caps w:val="0"/>
          <w:color w:val="333333"/>
          <w:spacing w:val="0"/>
          <w:sz w:val="32"/>
          <w:szCs w:val="32"/>
          <w:u w:val="none"/>
          <w:shd w:val="clear" w:fill="FFFFFF"/>
        </w:rPr>
        <w:t>附件1：2024年XX市消费品以旧换新补贴活动承办单位报名表.doc</w:t>
      </w:r>
      <w:r>
        <w:rPr>
          <w:rFonts w:hint="eastAsia" w:ascii="仿宋" w:hAnsi="仿宋" w:eastAsia="仿宋" w:cs="仿宋"/>
          <w:i w:val="0"/>
          <w:iCs w:val="0"/>
          <w:caps w:val="0"/>
          <w:color w:val="333333"/>
          <w:spacing w:val="0"/>
          <w:sz w:val="32"/>
          <w:szCs w:val="32"/>
          <w:u w:val="none"/>
          <w:shd w:val="clear" w:fill="FFFFFF"/>
        </w:rPr>
        <w:fldChar w:fldCharType="end"/>
      </w:r>
    </w:p>
    <w:p w14:paraId="0B9F68C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rPr>
        <w:t>2.</w:t>
      </w:r>
      <w:r>
        <w:rPr>
          <w:rFonts w:hint="eastAsia" w:ascii="仿宋" w:hAnsi="仿宋" w:eastAsia="仿宋" w:cs="仿宋"/>
          <w:i w:val="0"/>
          <w:iCs w:val="0"/>
          <w:caps w:val="0"/>
          <w:color w:val="333333"/>
          <w:spacing w:val="0"/>
          <w:sz w:val="32"/>
          <w:szCs w:val="32"/>
          <w:u w:val="none"/>
          <w:shd w:val="clear" w:fill="FFFFFF"/>
        </w:rPr>
        <w:fldChar w:fldCharType="begin"/>
      </w:r>
      <w:r>
        <w:rPr>
          <w:rFonts w:hint="eastAsia" w:ascii="仿宋" w:hAnsi="仿宋" w:eastAsia="仿宋" w:cs="仿宋"/>
          <w:i w:val="0"/>
          <w:iCs w:val="0"/>
          <w:caps w:val="0"/>
          <w:color w:val="333333"/>
          <w:spacing w:val="0"/>
          <w:sz w:val="32"/>
          <w:szCs w:val="32"/>
          <w:u w:val="none"/>
          <w:shd w:val="clear" w:fill="FFFFFF"/>
        </w:rPr>
        <w:instrText xml:space="preserve"> HYPERLINK "https://jiyunlaishui.hebyun.com.cn/upload/file/2024/10/01/1727753985771019694.doc" \o "附件2：活动承办单位门店申报表.doc" \t "https://jiyunlaishui.hebyun.com.cn/pages/2024/10/01/_self" </w:instrText>
      </w:r>
      <w:r>
        <w:rPr>
          <w:rFonts w:hint="eastAsia" w:ascii="仿宋" w:hAnsi="仿宋" w:eastAsia="仿宋" w:cs="仿宋"/>
          <w:i w:val="0"/>
          <w:iCs w:val="0"/>
          <w:caps w:val="0"/>
          <w:color w:val="333333"/>
          <w:spacing w:val="0"/>
          <w:sz w:val="32"/>
          <w:szCs w:val="32"/>
          <w:u w:val="none"/>
          <w:shd w:val="clear" w:fill="FFFFFF"/>
        </w:rPr>
        <w:fldChar w:fldCharType="separate"/>
      </w:r>
      <w:r>
        <w:rPr>
          <w:rFonts w:hint="eastAsia" w:ascii="仿宋" w:hAnsi="仿宋" w:eastAsia="仿宋" w:cs="仿宋"/>
          <w:i w:val="0"/>
          <w:iCs w:val="0"/>
          <w:caps w:val="0"/>
          <w:color w:val="333333"/>
          <w:spacing w:val="0"/>
          <w:sz w:val="32"/>
          <w:szCs w:val="32"/>
          <w:u w:val="none"/>
          <w:shd w:val="clear" w:fill="FFFFFF"/>
        </w:rPr>
        <w:t>附件2：活动承办单位门店申报表.doc</w:t>
      </w:r>
      <w:r>
        <w:rPr>
          <w:rFonts w:hint="eastAsia" w:ascii="仿宋" w:hAnsi="仿宋" w:eastAsia="仿宋" w:cs="仿宋"/>
          <w:i w:val="0"/>
          <w:iCs w:val="0"/>
          <w:caps w:val="0"/>
          <w:color w:val="333333"/>
          <w:spacing w:val="0"/>
          <w:sz w:val="32"/>
          <w:szCs w:val="32"/>
          <w:u w:val="none"/>
          <w:shd w:val="clear" w:fill="FFFFFF"/>
        </w:rPr>
        <w:fldChar w:fldCharType="end"/>
      </w:r>
    </w:p>
    <w:p w14:paraId="4AFBF1B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rPr>
        <w:t>3.</w:t>
      </w:r>
      <w:r>
        <w:rPr>
          <w:rFonts w:hint="eastAsia" w:ascii="仿宋" w:hAnsi="仿宋" w:eastAsia="仿宋" w:cs="仿宋"/>
          <w:i w:val="0"/>
          <w:iCs w:val="0"/>
          <w:caps w:val="0"/>
          <w:color w:val="333333"/>
          <w:spacing w:val="0"/>
          <w:sz w:val="32"/>
          <w:szCs w:val="32"/>
          <w:u w:val="none"/>
          <w:shd w:val="clear" w:fill="FFFFFF"/>
        </w:rPr>
        <w:fldChar w:fldCharType="begin"/>
      </w:r>
      <w:r>
        <w:rPr>
          <w:rFonts w:hint="eastAsia" w:ascii="仿宋" w:hAnsi="仿宋" w:eastAsia="仿宋" w:cs="仿宋"/>
          <w:i w:val="0"/>
          <w:iCs w:val="0"/>
          <w:caps w:val="0"/>
          <w:color w:val="333333"/>
          <w:spacing w:val="0"/>
          <w:sz w:val="32"/>
          <w:szCs w:val="32"/>
          <w:u w:val="none"/>
          <w:shd w:val="clear" w:fill="FFFFFF"/>
        </w:rPr>
        <w:instrText xml:space="preserve"> HYPERLINK "https://jiyunlaishui.hebyun.com.cn/upload/file/2024/10/01/1727753994343027317.doc" \o "附件3：参加活动商品品类及价格备案表.doc" \t "https://jiyunlaishui.hebyun.com.cn/pages/2024/10/01/_self" </w:instrText>
      </w:r>
      <w:r>
        <w:rPr>
          <w:rFonts w:hint="eastAsia" w:ascii="仿宋" w:hAnsi="仿宋" w:eastAsia="仿宋" w:cs="仿宋"/>
          <w:i w:val="0"/>
          <w:iCs w:val="0"/>
          <w:caps w:val="0"/>
          <w:color w:val="333333"/>
          <w:spacing w:val="0"/>
          <w:sz w:val="32"/>
          <w:szCs w:val="32"/>
          <w:u w:val="none"/>
          <w:shd w:val="clear" w:fill="FFFFFF"/>
        </w:rPr>
        <w:fldChar w:fldCharType="separate"/>
      </w:r>
      <w:r>
        <w:rPr>
          <w:rFonts w:hint="eastAsia" w:ascii="仿宋" w:hAnsi="仿宋" w:eastAsia="仿宋" w:cs="仿宋"/>
          <w:i w:val="0"/>
          <w:iCs w:val="0"/>
          <w:caps w:val="0"/>
          <w:color w:val="333333"/>
          <w:spacing w:val="0"/>
          <w:sz w:val="32"/>
          <w:szCs w:val="32"/>
          <w:u w:val="none"/>
          <w:shd w:val="clear" w:fill="FFFFFF"/>
        </w:rPr>
        <w:t>附件3：参加活动商品品类及价格备</w:t>
      </w:r>
      <w:bookmarkStart w:id="0" w:name="_GoBack"/>
      <w:bookmarkEnd w:id="0"/>
      <w:r>
        <w:rPr>
          <w:rFonts w:hint="eastAsia" w:ascii="仿宋" w:hAnsi="仿宋" w:eastAsia="仿宋" w:cs="仿宋"/>
          <w:i w:val="0"/>
          <w:iCs w:val="0"/>
          <w:caps w:val="0"/>
          <w:color w:val="333333"/>
          <w:spacing w:val="0"/>
          <w:sz w:val="32"/>
          <w:szCs w:val="32"/>
          <w:u w:val="none"/>
          <w:shd w:val="clear" w:fill="FFFFFF"/>
        </w:rPr>
        <w:t>案表.doc</w:t>
      </w:r>
      <w:r>
        <w:rPr>
          <w:rFonts w:hint="eastAsia" w:ascii="仿宋" w:hAnsi="仿宋" w:eastAsia="仿宋" w:cs="仿宋"/>
          <w:i w:val="0"/>
          <w:iCs w:val="0"/>
          <w:caps w:val="0"/>
          <w:color w:val="333333"/>
          <w:spacing w:val="0"/>
          <w:sz w:val="32"/>
          <w:szCs w:val="32"/>
          <w:u w:val="none"/>
          <w:shd w:val="clear" w:fill="FFFFFF"/>
        </w:rPr>
        <w:fldChar w:fldCharType="end"/>
      </w:r>
    </w:p>
    <w:p w14:paraId="7069BAB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both"/>
        <w:textAlignment w:val="auto"/>
        <w:rPr>
          <w:rFonts w:hint="eastAsia" w:ascii="仿宋" w:hAnsi="仿宋" w:eastAsia="仿宋" w:cs="仿宋"/>
          <w:i w:val="0"/>
          <w:iCs w:val="0"/>
          <w:caps w:val="0"/>
          <w:color w:val="333333"/>
          <w:spacing w:val="0"/>
          <w:sz w:val="32"/>
          <w:szCs w:val="32"/>
          <w:u w:val="none"/>
          <w:shd w:val="clear" w:fill="FFFFFF"/>
        </w:rPr>
      </w:pPr>
    </w:p>
    <w:p w14:paraId="2A56E8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 w:hAnsi="仿宋" w:eastAsia="仿宋" w:cs="仿宋"/>
          <w:i w:val="0"/>
          <w:iCs w:val="0"/>
          <w:caps w:val="0"/>
          <w:color w:val="333333"/>
          <w:spacing w:val="0"/>
          <w:sz w:val="32"/>
          <w:szCs w:val="32"/>
          <w:u w:val="none"/>
          <w:shd w:val="clear" w:fill="FFFFFF"/>
        </w:rPr>
      </w:pPr>
    </w:p>
    <w:p w14:paraId="02CA802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right"/>
        <w:textAlignment w:val="auto"/>
        <w:rPr>
          <w:rFonts w:hint="eastAsia" w:ascii="仿宋" w:hAnsi="仿宋" w:eastAsia="仿宋" w:cs="仿宋"/>
          <w:i w:val="0"/>
          <w:iCs w:val="0"/>
          <w:caps w:val="0"/>
          <w:color w:val="333333"/>
          <w:spacing w:val="0"/>
          <w:sz w:val="32"/>
          <w:szCs w:val="32"/>
          <w:u w:val="none"/>
          <w:shd w:val="clear" w:fill="FFFFFF"/>
          <w:lang w:eastAsia="zh-CN"/>
        </w:rPr>
      </w:pPr>
    </w:p>
    <w:p w14:paraId="08953B1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right"/>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lang w:eastAsia="zh-CN"/>
        </w:rPr>
        <w:t>涞源县</w:t>
      </w:r>
      <w:r>
        <w:rPr>
          <w:rFonts w:hint="eastAsia" w:ascii="仿宋" w:hAnsi="仿宋" w:eastAsia="仿宋" w:cs="仿宋"/>
          <w:i w:val="0"/>
          <w:iCs w:val="0"/>
          <w:caps w:val="0"/>
          <w:color w:val="333333"/>
          <w:spacing w:val="0"/>
          <w:sz w:val="32"/>
          <w:szCs w:val="32"/>
          <w:u w:val="none"/>
          <w:shd w:val="clear" w:fill="FFFFFF"/>
        </w:rPr>
        <w:t>发展改革和科学技术局</w:t>
      </w:r>
    </w:p>
    <w:p w14:paraId="6CD691A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center"/>
        <w:textAlignment w:val="auto"/>
        <w:rPr>
          <w:rFonts w:hint="eastAsia" w:ascii="仿宋" w:hAnsi="仿宋" w:eastAsia="仿宋" w:cs="仿宋"/>
          <w:i w:val="0"/>
          <w:iCs w:val="0"/>
          <w:caps w:val="0"/>
          <w:color w:val="333333"/>
          <w:spacing w:val="0"/>
          <w:sz w:val="32"/>
          <w:szCs w:val="32"/>
          <w:u w:val="none"/>
          <w:shd w:val="clear" w:fill="FFFFFF"/>
        </w:rPr>
      </w:pPr>
      <w:r>
        <w:rPr>
          <w:rFonts w:hint="eastAsia" w:ascii="仿宋" w:hAnsi="仿宋" w:eastAsia="仿宋" w:cs="仿宋"/>
          <w:i w:val="0"/>
          <w:iCs w:val="0"/>
          <w:caps w:val="0"/>
          <w:color w:val="333333"/>
          <w:spacing w:val="0"/>
          <w:sz w:val="32"/>
          <w:szCs w:val="32"/>
          <w:u w:val="none"/>
          <w:shd w:val="clear" w:fill="FFFFFF"/>
          <w:lang w:val="en-US" w:eastAsia="zh-CN"/>
        </w:rPr>
        <w:t xml:space="preserve">                   </w:t>
      </w:r>
      <w:r>
        <w:rPr>
          <w:rFonts w:hint="eastAsia" w:ascii="仿宋" w:hAnsi="仿宋" w:eastAsia="仿宋" w:cs="仿宋"/>
          <w:i w:val="0"/>
          <w:iCs w:val="0"/>
          <w:caps w:val="0"/>
          <w:color w:val="333333"/>
          <w:spacing w:val="0"/>
          <w:sz w:val="32"/>
          <w:szCs w:val="32"/>
          <w:u w:val="none"/>
          <w:shd w:val="clear" w:fill="FFFFFF"/>
        </w:rPr>
        <w:t>2024年10月1日 </w:t>
      </w:r>
    </w:p>
    <w:p w14:paraId="4A65B3A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jc w:val="both"/>
        <w:textAlignment w:val="auto"/>
        <w:rPr>
          <w:rFonts w:hint="eastAsia" w:ascii="微软雅黑" w:hAnsi="微软雅黑" w:eastAsia="微软雅黑" w:cs="微软雅黑"/>
          <w:i w:val="0"/>
          <w:iCs w:val="0"/>
          <w:caps w:val="0"/>
          <w:color w:val="333333"/>
          <w:spacing w:val="0"/>
          <w:sz w:val="21"/>
          <w:szCs w:val="21"/>
          <w:u w:val="none"/>
        </w:rPr>
      </w:pPr>
      <w:r>
        <w:rPr>
          <w:rFonts w:hint="eastAsia" w:ascii="黑体" w:hAnsi="宋体" w:eastAsia="黑体" w:cs="黑体"/>
          <w:i w:val="0"/>
          <w:iCs w:val="0"/>
          <w:caps w:val="0"/>
          <w:color w:val="333333"/>
          <w:spacing w:val="0"/>
          <w:sz w:val="31"/>
          <w:szCs w:val="31"/>
          <w:u w:val="none"/>
          <w:bdr w:val="none" w:color="auto" w:sz="0" w:space="0"/>
          <w:shd w:val="clear" w:fill="FFFFFF"/>
        </w:rPr>
        <w:t> </w:t>
      </w:r>
    </w:p>
    <w:p w14:paraId="729F26B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jc w:val="both"/>
        <w:textAlignment w:val="auto"/>
        <w:rPr>
          <w:rFonts w:hint="eastAsia" w:ascii="微软雅黑" w:hAnsi="微软雅黑" w:eastAsia="微软雅黑" w:cs="微软雅黑"/>
          <w:i w:val="0"/>
          <w:iCs w:val="0"/>
          <w:caps w:val="0"/>
          <w:color w:val="333333"/>
          <w:spacing w:val="0"/>
          <w:sz w:val="21"/>
          <w:szCs w:val="21"/>
          <w:u w:val="none"/>
        </w:rPr>
      </w:pPr>
      <w:r>
        <w:rPr>
          <w:rFonts w:hint="eastAsia" w:ascii="黑体" w:hAnsi="宋体" w:eastAsia="黑体" w:cs="黑体"/>
          <w:i w:val="0"/>
          <w:iCs w:val="0"/>
          <w:caps w:val="0"/>
          <w:color w:val="333333"/>
          <w:spacing w:val="0"/>
          <w:sz w:val="31"/>
          <w:szCs w:val="31"/>
          <w:u w:val="none"/>
          <w:bdr w:val="none" w:color="auto" w:sz="0" w:space="0"/>
          <w:shd w:val="clear" w:fill="FFFFFF"/>
        </w:rPr>
        <w:t> </w:t>
      </w:r>
    </w:p>
    <w:p w14:paraId="2DA3C6F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textAlignment w:val="auto"/>
        <w:rPr>
          <w:rFonts w:hint="eastAsia" w:ascii="微软雅黑" w:hAnsi="微软雅黑" w:eastAsia="微软雅黑" w:cs="微软雅黑"/>
          <w:i w:val="0"/>
          <w:iCs w:val="0"/>
          <w:caps w:val="0"/>
          <w:color w:val="333333"/>
          <w:spacing w:val="0"/>
          <w:sz w:val="21"/>
          <w:szCs w:val="21"/>
          <w:u w:val="none"/>
        </w:rPr>
      </w:pPr>
    </w:p>
    <w:p w14:paraId="2B747B6C">
      <w:pPr>
        <w:keepNext w:val="0"/>
        <w:keepLines w:val="0"/>
        <w:pageBreakBefore w:val="0"/>
        <w:kinsoku/>
        <w:wordWrap/>
        <w:overflowPunct/>
        <w:topLinePunct w:val="0"/>
        <w:autoSpaceDE/>
        <w:autoSpaceDN/>
        <w:bidi w:val="0"/>
        <w:adjustRightInd/>
        <w:snapToGrid/>
        <w:spacing w:line="560" w:lineRule="exact"/>
        <w:textAlignment w:val="auto"/>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altName w:val="黑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PMingLiU">
    <w:panose1 w:val="02020500000000000000"/>
    <w:charset w:val="88"/>
    <w:family w:val="roman"/>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3E01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9171023">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39171023">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VhNmVhNTY5ZDhmMDJlM2JkMzhmODVkNWI5YzdmODMifQ=="/>
  </w:docVars>
  <w:rsids>
    <w:rsidRoot w:val="2687425A"/>
    <w:rsid w:val="15DD6D9D"/>
    <w:rsid w:val="268742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sz w:val="32"/>
      <w:szCs w:val="32"/>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8</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2024-10-01T06:53:00Z</dcterms:created>
  <dc:creator>Administrator</dc:creator>
  <cp:lastModifiedBy>Administrator</cp:lastModifiedBy>
  <dcterms:modified xsi:type="dcterms:W3CDTF">2024-10-01T07:25:50Z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804E5A4503364EB3A7FD2B3EBBD37389_11</vt:lpwstr>
  </property>
</Properties>
</file>