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7C12BE">
      <w:pPr>
        <w:widowControl w:val="0"/>
        <w:spacing w:after="0" w:line="600" w:lineRule="exact"/>
        <w:jc w:val="center"/>
        <w:rPr>
          <w:rFonts w:hint="eastAsia" w:ascii="宋体" w:hAnsi="宋体" w:eastAsia="宋体" w:cs="宋体"/>
          <w:b/>
          <w:bCs/>
          <w:kern w:val="0"/>
          <w:sz w:val="44"/>
          <w:szCs w:val="4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kern w:val="0"/>
          <w:sz w:val="44"/>
          <w:szCs w:val="44"/>
          <w:highlight w:val="none"/>
          <w:lang w:val="en-US" w:eastAsia="zh-CN"/>
        </w:rPr>
        <w:t>涞源县2026年第二季度饮用水水质监测信息公示</w:t>
      </w:r>
    </w:p>
    <w:p w14:paraId="6ECA63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exact"/>
        <w:jc w:val="center"/>
        <w:textAlignment w:val="auto"/>
        <w:rPr>
          <w:rFonts w:hint="eastAsia" w:ascii="方正小标宋简体" w:eastAsia="方正小标宋简体"/>
          <w:kern w:val="0"/>
          <w:sz w:val="44"/>
          <w:szCs w:val="44"/>
          <w:highlight w:val="none"/>
        </w:rPr>
      </w:pPr>
    </w:p>
    <w:p w14:paraId="0BA45E7A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0" w:right="0" w:firstLine="640" w:firstLineChars="200"/>
        <w:textAlignment w:val="auto"/>
        <w:rPr>
          <w:rFonts w:hint="eastAsia" w:ascii="仿宋_GB2312" w:hAnsi="宋体" w:eastAsia="仿宋_GB2312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宋体" w:eastAsia="仿宋_GB2312"/>
          <w:kern w:val="0"/>
          <w:sz w:val="32"/>
          <w:szCs w:val="32"/>
          <w:highlight w:val="none"/>
        </w:rPr>
        <w:t>依据《</w:t>
      </w:r>
      <w:r>
        <w:rPr>
          <w:rFonts w:hint="eastAsia" w:ascii="仿宋_GB2312" w:hAnsi="宋体" w:eastAsia="仿宋_GB2312"/>
          <w:kern w:val="0"/>
          <w:sz w:val="32"/>
          <w:szCs w:val="32"/>
          <w:highlight w:val="none"/>
          <w:lang w:val="en-US" w:eastAsia="zh-CN"/>
        </w:rPr>
        <w:t>中华人民共和国水污染防治法</w:t>
      </w:r>
      <w:r>
        <w:rPr>
          <w:rFonts w:hint="eastAsia" w:ascii="仿宋_GB2312" w:hAnsi="宋体" w:eastAsia="仿宋_GB2312"/>
          <w:kern w:val="0"/>
          <w:sz w:val="32"/>
          <w:szCs w:val="32"/>
          <w:highlight w:val="none"/>
        </w:rPr>
        <w:t>》和《关于进一步加强农村饮用水水质监测和信息公开工作的通知》</w:t>
      </w:r>
      <w:r>
        <w:rPr>
          <w:rFonts w:hint="eastAsia" w:ascii="仿宋_GB2312" w:hAnsi="宋体" w:eastAsia="仿宋_GB2312"/>
          <w:kern w:val="0"/>
          <w:sz w:val="32"/>
          <w:szCs w:val="32"/>
          <w:highlight w:val="none"/>
          <w:lang w:val="en-US" w:eastAsia="zh-CN"/>
        </w:rPr>
        <w:t>相关</w:t>
      </w:r>
      <w:r>
        <w:rPr>
          <w:rFonts w:hint="eastAsia" w:ascii="仿宋_GB2312" w:hAnsi="宋体" w:eastAsia="仿宋_GB2312"/>
          <w:kern w:val="0"/>
          <w:sz w:val="32"/>
          <w:szCs w:val="32"/>
          <w:highlight w:val="none"/>
        </w:rPr>
        <w:t>要求，</w:t>
      </w:r>
      <w:r>
        <w:rPr>
          <w:rFonts w:hint="eastAsia" w:ascii="仿宋_GB2312" w:hAnsi="宋体" w:eastAsia="仿宋_GB2312"/>
          <w:kern w:val="0"/>
          <w:sz w:val="32"/>
          <w:szCs w:val="32"/>
          <w:highlight w:val="none"/>
          <w:lang w:val="en-US" w:eastAsia="zh-CN"/>
        </w:rPr>
        <w:t>现将2026</w:t>
      </w:r>
      <w:r>
        <w:rPr>
          <w:rFonts w:hint="eastAsia" w:ascii="仿宋_GB2312" w:hAnsi="宋体" w:eastAsia="仿宋_GB2312"/>
          <w:kern w:val="0"/>
          <w:sz w:val="32"/>
          <w:szCs w:val="32"/>
          <w:highlight w:val="none"/>
        </w:rPr>
        <w:t>年</w:t>
      </w:r>
      <w:r>
        <w:rPr>
          <w:rFonts w:hint="eastAsia" w:ascii="仿宋_GB2312" w:hAnsi="宋体" w:eastAsia="仿宋_GB2312"/>
          <w:kern w:val="0"/>
          <w:sz w:val="32"/>
          <w:szCs w:val="32"/>
          <w:highlight w:val="none"/>
          <w:lang w:val="en-US" w:eastAsia="zh-CN"/>
        </w:rPr>
        <w:t>第</w:t>
      </w:r>
      <w:r>
        <w:rPr>
          <w:rFonts w:hint="eastAsia" w:asciiTheme="minorEastAsia" w:hAnsiTheme="minorEastAsia"/>
          <w:b/>
          <w:sz w:val="32"/>
          <w:szCs w:val="32"/>
          <w:highlight w:val="none"/>
          <w:lang w:val="en-US" w:eastAsia="zh-CN"/>
        </w:rPr>
        <w:t>二</w:t>
      </w:r>
      <w:r>
        <w:rPr>
          <w:rFonts w:hint="eastAsia" w:ascii="仿宋_GB2312" w:hAnsi="宋体" w:eastAsia="仿宋_GB2312"/>
          <w:kern w:val="0"/>
          <w:sz w:val="32"/>
          <w:szCs w:val="32"/>
          <w:highlight w:val="none"/>
          <w:lang w:val="en-US" w:eastAsia="zh-CN"/>
        </w:rPr>
        <w:t>季度生活饮用水</w:t>
      </w:r>
      <w:r>
        <w:rPr>
          <w:rFonts w:hint="eastAsia" w:ascii="仿宋_GB2312" w:hAnsi="宋体" w:eastAsia="仿宋_GB2312"/>
          <w:kern w:val="0"/>
          <w:sz w:val="32"/>
          <w:szCs w:val="32"/>
          <w:highlight w:val="none"/>
        </w:rPr>
        <w:t>监测信息</w:t>
      </w:r>
      <w:r>
        <w:rPr>
          <w:rFonts w:hint="eastAsia" w:ascii="仿宋_GB2312" w:hAnsi="宋体" w:eastAsia="仿宋_GB2312"/>
          <w:kern w:val="0"/>
          <w:sz w:val="32"/>
          <w:szCs w:val="32"/>
          <w:highlight w:val="none"/>
          <w:lang w:val="en-US" w:eastAsia="zh-CN"/>
        </w:rPr>
        <w:t>公示如下：</w:t>
      </w:r>
    </w:p>
    <w:p w14:paraId="5A5BBBC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0" w:right="0" w:firstLine="640" w:firstLineChars="200"/>
        <w:textAlignment w:val="auto"/>
        <w:rPr>
          <w:rFonts w:hint="eastAsia" w:ascii="仿宋_GB2312" w:hAnsi="宋体" w:eastAsia="仿宋_GB2312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宋体" w:eastAsia="仿宋_GB2312"/>
          <w:kern w:val="0"/>
          <w:sz w:val="32"/>
          <w:szCs w:val="32"/>
          <w:highlight w:val="none"/>
          <w:lang w:val="en-US" w:eastAsia="zh-CN"/>
        </w:rPr>
        <w:t>涞源县</w:t>
      </w:r>
      <w:r>
        <w:rPr>
          <w:rFonts w:hint="default" w:ascii="仿宋_GB2312" w:hAnsi="宋体" w:eastAsia="仿宋_GB2312"/>
          <w:kern w:val="0"/>
          <w:sz w:val="32"/>
          <w:szCs w:val="32"/>
          <w:highlight w:val="none"/>
          <w:lang w:val="en-US" w:eastAsia="zh-CN"/>
        </w:rPr>
        <w:t>本季度</w:t>
      </w:r>
      <w:r>
        <w:rPr>
          <w:rFonts w:hint="eastAsia" w:ascii="仿宋_GB2312" w:hAnsi="宋体" w:eastAsia="仿宋_GB2312"/>
          <w:kern w:val="0"/>
          <w:sz w:val="32"/>
          <w:szCs w:val="32"/>
          <w:highlight w:val="none"/>
          <w:lang w:val="en-US" w:eastAsia="zh-CN"/>
        </w:rPr>
        <w:t>共设置用户水龙头水监测点5处，分别为福源小区、新环小区、联合关新村、七彩城小区、富康小区；监测指标涵盖浑浊度、色度、臭和味、肉眼可见物、高锰酸盐指数、游离氯、菌落总数、总大肠菌群等，共8项。涞源县疾控中心采集水样并按照《生活饮用水标准检验方法》（GB/T 5750-2023）进行检测。检测结果显示，各项指标均符合《生活饮用水卫生</w:t>
      </w:r>
      <w:r>
        <w:rPr>
          <w:rFonts w:hint="eastAsia" w:ascii="仿宋_GB2312" w:hAnsi="宋体" w:eastAsia="仿宋_GB2312"/>
          <w:kern w:val="0"/>
          <w:sz w:val="32"/>
          <w:szCs w:val="32"/>
          <w:highlight w:val="none"/>
        </w:rPr>
        <w:t>标准》（GB 5749-2022）</w:t>
      </w:r>
      <w:r>
        <w:rPr>
          <w:rFonts w:hint="eastAsia" w:ascii="仿宋_GB2312" w:hAnsi="宋体" w:eastAsia="仿宋_GB2312"/>
          <w:kern w:val="0"/>
          <w:sz w:val="32"/>
          <w:szCs w:val="32"/>
          <w:highlight w:val="none"/>
          <w:lang w:val="en-US" w:eastAsia="zh-CN"/>
        </w:rPr>
        <w:t>限值要求，总体合格率为100%。</w:t>
      </w:r>
    </w:p>
    <w:p w14:paraId="0DD87F0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right="0"/>
        <w:textAlignment w:val="auto"/>
        <w:rPr>
          <w:rFonts w:hint="eastAsia" w:ascii="仿宋_GB2312" w:hAnsi="宋体" w:eastAsia="仿宋_GB2312"/>
          <w:kern w:val="0"/>
          <w:sz w:val="32"/>
          <w:szCs w:val="32"/>
          <w:highlight w:val="none"/>
        </w:rPr>
      </w:pPr>
      <w:r>
        <w:rPr>
          <w:rFonts w:hint="eastAsia" w:ascii="仿宋_GB2312" w:hAnsi="宋体" w:eastAsia="仿宋_GB2312"/>
          <w:kern w:val="0"/>
          <w:sz w:val="32"/>
          <w:szCs w:val="32"/>
          <w:highlight w:val="none"/>
          <w:lang w:val="en-US" w:eastAsia="zh-CN"/>
        </w:rPr>
        <w:t>详见附</w:t>
      </w:r>
      <w:r>
        <w:rPr>
          <w:rFonts w:hint="eastAsia" w:ascii="仿宋_GB2312" w:hAnsi="宋体" w:eastAsia="仿宋_GB2312"/>
          <w:kern w:val="0"/>
          <w:sz w:val="32"/>
          <w:szCs w:val="32"/>
          <w:highlight w:val="none"/>
        </w:rPr>
        <w:t>表</w:t>
      </w:r>
    </w:p>
    <w:p w14:paraId="2F8558D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right="0"/>
        <w:textAlignment w:val="auto"/>
        <w:rPr>
          <w:rFonts w:hint="eastAsia" w:ascii="仿宋" w:hAnsi="仿宋" w:eastAsia="仿宋" w:cs="仿宋"/>
          <w:b w:val="0"/>
          <w:bCs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b w:val="0"/>
          <w:bCs/>
          <w:sz w:val="32"/>
          <w:szCs w:val="32"/>
          <w:highlight w:val="none"/>
          <w:lang w:val="en-US" w:eastAsia="zh-CN"/>
        </w:rPr>
        <w:t>附</w:t>
      </w:r>
      <w:r>
        <w:rPr>
          <w:rFonts w:hint="eastAsia" w:ascii="仿宋" w:hAnsi="仿宋" w:eastAsia="仿宋" w:cs="仿宋"/>
          <w:b w:val="0"/>
          <w:bCs/>
          <w:sz w:val="32"/>
          <w:szCs w:val="32"/>
          <w:highlight w:val="none"/>
        </w:rPr>
        <w:t>表</w:t>
      </w:r>
      <w:r>
        <w:rPr>
          <w:rFonts w:hint="eastAsia" w:ascii="仿宋" w:hAnsi="仿宋" w:eastAsia="仿宋" w:cs="仿宋"/>
          <w:b w:val="0"/>
          <w:bCs/>
          <w:sz w:val="32"/>
          <w:szCs w:val="32"/>
          <w:highlight w:val="none"/>
          <w:lang w:eastAsia="zh-CN"/>
        </w:rPr>
        <w:t>：</w:t>
      </w:r>
    </w:p>
    <w:p w14:paraId="04C3756E">
      <w:pPr>
        <w:jc w:val="center"/>
        <w:rPr>
          <w:rFonts w:hint="eastAsia" w:ascii="仿宋_GB2312" w:hAnsi="宋体" w:eastAsia="仿宋_GB2312"/>
          <w:kern w:val="0"/>
          <w:sz w:val="32"/>
          <w:szCs w:val="32"/>
          <w:highlight w:val="none"/>
        </w:rPr>
      </w:pPr>
      <w:r>
        <w:rPr>
          <w:rFonts w:hint="eastAsia" w:asciiTheme="minorEastAsia" w:hAnsiTheme="minorEastAsia"/>
          <w:b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Theme="minorEastAsia" w:hAnsiTheme="minorEastAsia"/>
          <w:b/>
          <w:sz w:val="32"/>
          <w:szCs w:val="32"/>
          <w:highlight w:val="none"/>
        </w:rPr>
        <w:t>年第</w:t>
      </w:r>
      <w:r>
        <w:rPr>
          <w:rFonts w:hint="eastAsia" w:asciiTheme="minorEastAsia" w:hAnsiTheme="minorEastAsia"/>
          <w:b/>
          <w:sz w:val="32"/>
          <w:szCs w:val="32"/>
          <w:highlight w:val="none"/>
          <w:lang w:val="en-US" w:eastAsia="zh-CN"/>
        </w:rPr>
        <w:t>二</w:t>
      </w:r>
      <w:r>
        <w:rPr>
          <w:rFonts w:hint="eastAsia" w:asciiTheme="minorEastAsia" w:hAnsiTheme="minorEastAsia"/>
          <w:b/>
          <w:sz w:val="32"/>
          <w:szCs w:val="32"/>
          <w:highlight w:val="none"/>
        </w:rPr>
        <w:t>季度</w:t>
      </w:r>
      <w:r>
        <w:rPr>
          <w:rFonts w:hint="eastAsia" w:asciiTheme="minorEastAsia" w:hAnsiTheme="minorEastAsia"/>
          <w:b/>
          <w:sz w:val="32"/>
          <w:szCs w:val="32"/>
          <w:highlight w:val="none"/>
          <w:lang w:val="en-US" w:eastAsia="zh-CN"/>
        </w:rPr>
        <w:t>生活饮用水检测</w:t>
      </w:r>
      <w:r>
        <w:rPr>
          <w:rFonts w:hint="eastAsia" w:asciiTheme="minorEastAsia" w:hAnsiTheme="minorEastAsia"/>
          <w:b/>
          <w:sz w:val="32"/>
          <w:szCs w:val="32"/>
          <w:highlight w:val="none"/>
        </w:rPr>
        <w:t>结果</w:t>
      </w:r>
    </w:p>
    <w:tbl>
      <w:tblPr>
        <w:tblStyle w:val="3"/>
        <w:tblW w:w="10173" w:type="dxa"/>
        <w:tblInd w:w="-729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3"/>
        <w:gridCol w:w="687"/>
        <w:gridCol w:w="1050"/>
        <w:gridCol w:w="738"/>
        <w:gridCol w:w="912"/>
        <w:gridCol w:w="688"/>
        <w:gridCol w:w="700"/>
        <w:gridCol w:w="1175"/>
        <w:gridCol w:w="850"/>
        <w:gridCol w:w="1512"/>
        <w:gridCol w:w="1158"/>
      </w:tblGrid>
      <w:tr w14:paraId="0902BC3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3" w:hRule="atLeast"/>
        </w:trPr>
        <w:tc>
          <w:tcPr>
            <w:tcW w:w="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48FCEB2">
            <w:pPr>
              <w:widowControl/>
              <w:jc w:val="center"/>
              <w:rPr>
                <w:rFonts w:hint="default" w:cs="Tahoma" w:asciiTheme="minorEastAsia" w:hAnsiTheme="minorEastAsia" w:eastAsiaTheme="minorEastAsia"/>
                <w:kern w:val="0"/>
                <w:szCs w:val="21"/>
                <w:highlight w:val="none"/>
                <w:lang w:val="en-US" w:eastAsia="zh-CN"/>
              </w:rPr>
            </w:pPr>
            <w:r>
              <w:rPr>
                <w:rFonts w:hint="eastAsia" w:cs="Tahoma" w:asciiTheme="minorEastAsia" w:hAnsiTheme="minorEastAsia"/>
                <w:kern w:val="0"/>
                <w:szCs w:val="21"/>
                <w:highlight w:val="none"/>
                <w:lang w:val="en-US" w:eastAsia="zh-CN"/>
              </w:rPr>
              <w:t>序号</w:t>
            </w:r>
          </w:p>
        </w:tc>
        <w:tc>
          <w:tcPr>
            <w:tcW w:w="6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8F8761C">
            <w:pPr>
              <w:widowControl/>
              <w:jc w:val="center"/>
              <w:rPr>
                <w:rFonts w:cs="Tahoma" w:asciiTheme="minorEastAsia" w:hAnsiTheme="minorEastAsia"/>
                <w:kern w:val="0"/>
                <w:szCs w:val="21"/>
                <w:highlight w:val="none"/>
              </w:rPr>
            </w:pPr>
            <w:r>
              <w:rPr>
                <w:rFonts w:hint="eastAsia" w:cs="Tahoma" w:asciiTheme="minorEastAsia" w:hAnsiTheme="minorEastAsia"/>
                <w:kern w:val="0"/>
                <w:szCs w:val="21"/>
                <w:highlight w:val="none"/>
                <w:lang w:val="en-US" w:eastAsia="zh-CN"/>
              </w:rPr>
              <w:t>监测</w:t>
            </w:r>
            <w:r>
              <w:rPr>
                <w:rFonts w:hint="eastAsia" w:cs="Tahoma" w:asciiTheme="minorEastAsia" w:hAnsiTheme="minorEastAsia"/>
                <w:kern w:val="0"/>
                <w:szCs w:val="21"/>
                <w:highlight w:val="none"/>
              </w:rPr>
              <w:t>地点</w:t>
            </w:r>
          </w:p>
        </w:tc>
        <w:tc>
          <w:tcPr>
            <w:tcW w:w="10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38D281">
            <w:pPr>
              <w:widowControl/>
              <w:jc w:val="center"/>
              <w:rPr>
                <w:rFonts w:cs="Tahoma" w:asciiTheme="minorEastAsia" w:hAnsi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/>
                <w:highlight w:val="none"/>
                <w:lang w:val="en-US" w:eastAsia="zh-CN"/>
              </w:rPr>
              <w:t>高锰酸盐指数</w:t>
            </w:r>
            <w:r>
              <w:rPr>
                <w:rFonts w:hint="eastAsia"/>
                <w:highlight w:val="none"/>
              </w:rPr>
              <w:t>（</w:t>
            </w:r>
            <w:r>
              <w:rPr>
                <w:rFonts w:hint="eastAsia"/>
                <w:highlight w:val="none"/>
                <w:lang w:val="en-US" w:eastAsia="zh-CN"/>
              </w:rPr>
              <w:t>3</w:t>
            </w:r>
            <w:r>
              <w:rPr>
                <w:rFonts w:hint="eastAsia"/>
                <w:highlight w:val="none"/>
              </w:rPr>
              <w:t>mg/L）</w:t>
            </w:r>
          </w:p>
        </w:tc>
        <w:tc>
          <w:tcPr>
            <w:tcW w:w="7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D1CE5E">
            <w:pPr>
              <w:widowControl/>
              <w:jc w:val="center"/>
              <w:rPr>
                <w:rFonts w:cs="Tahoma" w:asciiTheme="minorEastAsia" w:hAnsi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</w:rPr>
              <w:t>色度(15</w:t>
            </w: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  <w:lang w:val="en-US" w:eastAsia="zh-CN"/>
              </w:rPr>
              <w:t>度</w:t>
            </w: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</w:rPr>
              <w:t>)</w:t>
            </w:r>
          </w:p>
        </w:tc>
        <w:tc>
          <w:tcPr>
            <w:tcW w:w="9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80F781">
            <w:pPr>
              <w:widowControl/>
              <w:jc w:val="center"/>
              <w:rPr>
                <w:rFonts w:cs="Tahoma" w:asciiTheme="minorEastAsia" w:hAnsi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</w:rPr>
              <w:t>浑浊度(1NTU)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8C46B9">
            <w:pPr>
              <w:widowControl/>
              <w:jc w:val="center"/>
              <w:rPr>
                <w:rFonts w:hint="eastAsia" w:cs="Tahoma" w:asciiTheme="minorEastAsia" w:hAnsiTheme="minorEastAsia" w:eastAsiaTheme="minorEastAsia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</w:rPr>
              <w:t>臭和味</w:t>
            </w: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  <w:lang w:val="en-US" w:eastAsia="zh-CN"/>
              </w:rPr>
              <w:t>无</w:t>
            </w: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7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9CE0E3">
            <w:pPr>
              <w:widowControl/>
              <w:jc w:val="center"/>
              <w:rPr>
                <w:rFonts w:hint="eastAsia" w:cs="Tahoma" w:asciiTheme="minorEastAsia" w:hAnsiTheme="minorEastAsia" w:eastAsiaTheme="minorEastAsia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</w:rPr>
              <w:t>肉眼可见物</w:t>
            </w: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  <w:lang w:val="en-US" w:eastAsia="zh-CN"/>
              </w:rPr>
              <w:t>无</w:t>
            </w: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11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268D9E">
            <w:pPr>
              <w:widowControl/>
              <w:jc w:val="center"/>
              <w:rPr>
                <w:rFonts w:cs="Tahoma" w:asciiTheme="minorEastAsia" w:hAnsi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</w:rPr>
              <w:t>游离性余氯（≥0.05mg/L)</w:t>
            </w: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1CF028">
            <w:pPr>
              <w:widowControl/>
              <w:jc w:val="center"/>
              <w:rPr>
                <w:rFonts w:cs="Tahoma" w:asciiTheme="minorEastAsia" w:hAnsiTheme="minorEastAsia"/>
                <w:kern w:val="0"/>
                <w:sz w:val="21"/>
                <w:szCs w:val="21"/>
                <w:highlight w:val="none"/>
              </w:rPr>
            </w:pP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</w:rPr>
              <w:t>菌落总数(</w:t>
            </w: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  <w:lang w:val="en-US" w:eastAsia="zh-CN"/>
              </w:rPr>
              <w:t>100</w:t>
            </w: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</w:rPr>
              <w:t>CFU/mL）</w:t>
            </w:r>
          </w:p>
        </w:tc>
        <w:tc>
          <w:tcPr>
            <w:tcW w:w="15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B1BD90">
            <w:pPr>
              <w:widowControl/>
              <w:jc w:val="center"/>
              <w:rPr>
                <w:rFonts w:hint="eastAsia" w:cs="Tahoma" w:asciiTheme="minorEastAsia" w:hAnsiTheme="minorEastAsia" w:eastAsiaTheme="minorEastAsia"/>
                <w:kern w:val="0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</w:rPr>
              <w:t xml:space="preserve"> 总大肠菌群(MPN/100mL)</w:t>
            </w: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  <w:lang w:val="en-US" w:eastAsia="zh-CN"/>
              </w:rPr>
              <w:t>不应检出</w:t>
            </w:r>
            <w:r>
              <w:rPr>
                <w:rFonts w:hint="eastAsia" w:cs="Tahoma" w:asciiTheme="minorEastAsia" w:hAnsiTheme="minorEastAsia"/>
                <w:kern w:val="0"/>
                <w:sz w:val="21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7C9F01">
            <w:pPr>
              <w:widowControl/>
              <w:jc w:val="center"/>
              <w:rPr>
                <w:rFonts w:hint="default" w:cs="Tahoma" w:asciiTheme="minorEastAsia" w:hAnsiTheme="minorEastAsia" w:eastAsiaTheme="minorEastAsia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cs="Tahoma" w:asciiTheme="minorEastAsia" w:hAnsiTheme="minorEastAsia"/>
                <w:kern w:val="0"/>
                <w:szCs w:val="21"/>
                <w:highlight w:val="none"/>
              </w:rPr>
              <w:t>结果判定</w:t>
            </w:r>
          </w:p>
        </w:tc>
      </w:tr>
      <w:tr w14:paraId="1E27E4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7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5154B9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1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745CDA9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福源小区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CB9BD2A">
            <w:pPr>
              <w:widowControl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0.39</w:t>
            </w:r>
          </w:p>
        </w:tc>
        <w:tc>
          <w:tcPr>
            <w:tcW w:w="7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892CEC0">
            <w:pPr>
              <w:widowControl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＜5</w:t>
            </w:r>
          </w:p>
        </w:tc>
        <w:tc>
          <w:tcPr>
            <w:tcW w:w="9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E349AC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＜0.5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480A3D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无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6F55B8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无</w:t>
            </w:r>
          </w:p>
        </w:tc>
        <w:tc>
          <w:tcPr>
            <w:tcW w:w="11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2B3AB8">
            <w:pPr>
              <w:widowControl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0.08</w:t>
            </w: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348F95">
            <w:pPr>
              <w:widowControl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40</w:t>
            </w:r>
          </w:p>
        </w:tc>
        <w:tc>
          <w:tcPr>
            <w:tcW w:w="15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C51AAC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未检出</w:t>
            </w:r>
          </w:p>
        </w:tc>
        <w:tc>
          <w:tcPr>
            <w:tcW w:w="11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7B75AE">
            <w:pPr>
              <w:widowControl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highlight w:val="none"/>
                <w:lang w:val="en-US" w:eastAsia="zh-CN"/>
              </w:rPr>
              <w:t>合格</w:t>
            </w:r>
          </w:p>
        </w:tc>
      </w:tr>
      <w:tr w14:paraId="4616C8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70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06C2022">
            <w:pPr>
              <w:widowControl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2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57B094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新环小区</w:t>
            </w:r>
          </w:p>
        </w:tc>
        <w:tc>
          <w:tcPr>
            <w:tcW w:w="10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7AD344">
            <w:pPr>
              <w:widowControl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0.41</w:t>
            </w:r>
          </w:p>
        </w:tc>
        <w:tc>
          <w:tcPr>
            <w:tcW w:w="7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93820B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＜5</w:t>
            </w:r>
          </w:p>
        </w:tc>
        <w:tc>
          <w:tcPr>
            <w:tcW w:w="9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3864D7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＜0.5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38643A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无</w:t>
            </w:r>
          </w:p>
        </w:tc>
        <w:tc>
          <w:tcPr>
            <w:tcW w:w="7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5221027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无</w:t>
            </w:r>
          </w:p>
        </w:tc>
        <w:tc>
          <w:tcPr>
            <w:tcW w:w="117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397AABBA">
            <w:pPr>
              <w:widowControl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0.10</w:t>
            </w:r>
          </w:p>
        </w:tc>
        <w:tc>
          <w:tcPr>
            <w:tcW w:w="8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9EA3A5">
            <w:pPr>
              <w:widowControl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48</w:t>
            </w:r>
          </w:p>
        </w:tc>
        <w:tc>
          <w:tcPr>
            <w:tcW w:w="15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E388F0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未检出</w:t>
            </w:r>
          </w:p>
        </w:tc>
        <w:tc>
          <w:tcPr>
            <w:tcW w:w="115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E5381A">
            <w:pPr>
              <w:widowControl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highlight w:val="none"/>
                <w:lang w:val="en-US" w:eastAsia="zh-CN"/>
              </w:rPr>
              <w:t>合格</w:t>
            </w:r>
          </w:p>
        </w:tc>
      </w:tr>
      <w:tr w14:paraId="6ADA8A2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FB24992">
            <w:pPr>
              <w:widowControl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3</w:t>
            </w:r>
          </w:p>
        </w:tc>
        <w:tc>
          <w:tcPr>
            <w:tcW w:w="6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023FB1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联合关新村</w:t>
            </w:r>
          </w:p>
        </w:tc>
        <w:tc>
          <w:tcPr>
            <w:tcW w:w="10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62BFA9">
            <w:pPr>
              <w:widowControl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0.25</w:t>
            </w:r>
          </w:p>
        </w:tc>
        <w:tc>
          <w:tcPr>
            <w:tcW w:w="7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EA6B68A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＜5</w:t>
            </w:r>
          </w:p>
        </w:tc>
        <w:tc>
          <w:tcPr>
            <w:tcW w:w="9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F62B876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＜0.5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3B49E0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无</w:t>
            </w:r>
          </w:p>
        </w:tc>
        <w:tc>
          <w:tcPr>
            <w:tcW w:w="7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F46DA0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无</w:t>
            </w:r>
          </w:p>
        </w:tc>
        <w:tc>
          <w:tcPr>
            <w:tcW w:w="117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57D5962C">
            <w:pPr>
              <w:widowControl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0</w:t>
            </w:r>
            <w:bookmarkStart w:id="0" w:name="_GoBack"/>
            <w:bookmarkEnd w:id="0"/>
            <w:r>
              <w:rPr>
                <w:rFonts w:hint="eastAsia"/>
                <w:highlight w:val="none"/>
                <w:lang w:val="en-US" w:eastAsia="zh-CN"/>
              </w:rPr>
              <w:t>.11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241C9C">
            <w:pPr>
              <w:widowControl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38</w:t>
            </w:r>
          </w:p>
        </w:tc>
        <w:tc>
          <w:tcPr>
            <w:tcW w:w="15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A9D5C5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未检出</w:t>
            </w: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DAC897">
            <w:pPr>
              <w:widowControl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highlight w:val="none"/>
                <w:lang w:val="en-US" w:eastAsia="zh-CN"/>
              </w:rPr>
              <w:t>合格</w:t>
            </w:r>
          </w:p>
        </w:tc>
      </w:tr>
      <w:tr w14:paraId="4F0035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91E3E9">
            <w:pPr>
              <w:widowControl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4</w:t>
            </w:r>
          </w:p>
        </w:tc>
        <w:tc>
          <w:tcPr>
            <w:tcW w:w="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A69239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七彩城小区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C31F851">
            <w:pPr>
              <w:widowControl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0.33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146D625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＜5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09123D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＜0.5</w:t>
            </w: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ACDFCD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无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A7FD80D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无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EBF4D4">
            <w:pPr>
              <w:widowControl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0.19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A70481">
            <w:pPr>
              <w:widowControl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51</w:t>
            </w:r>
          </w:p>
        </w:tc>
        <w:tc>
          <w:tcPr>
            <w:tcW w:w="1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3B7F7EB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未检出</w:t>
            </w: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10E6CFC">
            <w:pPr>
              <w:widowControl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highlight w:val="none"/>
                <w:lang w:val="en-US" w:eastAsia="zh-CN"/>
              </w:rPr>
              <w:t>合格</w:t>
            </w:r>
          </w:p>
        </w:tc>
      </w:tr>
      <w:tr w14:paraId="166056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F3DF8A">
            <w:pPr>
              <w:widowControl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5</w:t>
            </w:r>
          </w:p>
        </w:tc>
        <w:tc>
          <w:tcPr>
            <w:tcW w:w="6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C17BC4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富康小区</w:t>
            </w:r>
          </w:p>
        </w:tc>
        <w:tc>
          <w:tcPr>
            <w:tcW w:w="1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052D16">
            <w:pPr>
              <w:widowControl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0.21</w:t>
            </w:r>
          </w:p>
        </w:tc>
        <w:tc>
          <w:tcPr>
            <w:tcW w:w="7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7E91B07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＜5</w:t>
            </w:r>
          </w:p>
        </w:tc>
        <w:tc>
          <w:tcPr>
            <w:tcW w:w="9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056F3C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＜0.5</w:t>
            </w: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C13D6AA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无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EE8001A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无</w:t>
            </w:r>
          </w:p>
        </w:tc>
        <w:tc>
          <w:tcPr>
            <w:tcW w:w="11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0157C8">
            <w:pPr>
              <w:widowControl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0.11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289E16">
            <w:pPr>
              <w:widowControl/>
              <w:jc w:val="center"/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45</w:t>
            </w:r>
          </w:p>
        </w:tc>
        <w:tc>
          <w:tcPr>
            <w:tcW w:w="15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3BC39A2">
            <w:pPr>
              <w:widowControl/>
              <w:jc w:val="center"/>
              <w:rPr>
                <w:rFonts w:hint="eastAsia"/>
                <w:highlight w:val="none"/>
                <w:lang w:val="en-US" w:eastAsia="zh-CN"/>
              </w:rPr>
            </w:pPr>
            <w:r>
              <w:rPr>
                <w:rFonts w:hint="eastAsia"/>
                <w:highlight w:val="none"/>
                <w:lang w:val="en-US" w:eastAsia="zh-CN"/>
              </w:rPr>
              <w:t>未检出</w:t>
            </w:r>
          </w:p>
        </w:tc>
        <w:tc>
          <w:tcPr>
            <w:tcW w:w="11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ED4E6C">
            <w:pPr>
              <w:widowControl/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/>
                <w:highlight w:val="none"/>
                <w:lang w:val="en-US" w:eastAsia="zh-CN"/>
              </w:rPr>
              <w:t>合格</w:t>
            </w:r>
          </w:p>
        </w:tc>
      </w:tr>
    </w:tbl>
    <w:p w14:paraId="5A280BFC">
      <w:pPr>
        <w:rPr>
          <w:highlight w:val="none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7A"/>
    <w:family w:val="script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C92D5F"/>
    <w:rsid w:val="071601DB"/>
    <w:rsid w:val="0973092E"/>
    <w:rsid w:val="0D431628"/>
    <w:rsid w:val="13656FE8"/>
    <w:rsid w:val="1883039E"/>
    <w:rsid w:val="19C92D5F"/>
    <w:rsid w:val="1A5E689F"/>
    <w:rsid w:val="245B5A5D"/>
    <w:rsid w:val="26E9253A"/>
    <w:rsid w:val="28611A93"/>
    <w:rsid w:val="355F451E"/>
    <w:rsid w:val="38720266"/>
    <w:rsid w:val="3C4C6F73"/>
    <w:rsid w:val="3FB05720"/>
    <w:rsid w:val="58D30CE4"/>
    <w:rsid w:val="59132B5A"/>
    <w:rsid w:val="5BCF18CB"/>
    <w:rsid w:val="5E545B5F"/>
    <w:rsid w:val="64FA1629"/>
    <w:rsid w:val="668C0B8F"/>
    <w:rsid w:val="698449F3"/>
    <w:rsid w:val="6AE17E69"/>
    <w:rsid w:val="70C54FAE"/>
    <w:rsid w:val="79BB4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annotation reference"/>
    <w:basedOn w:val="4"/>
    <w:semiHidden/>
    <w:unhideWhenUsed/>
    <w:qFormat/>
    <w:uiPriority w:val="99"/>
    <w:rPr>
      <w:sz w:val="21"/>
      <w:szCs w:val="21"/>
    </w:rPr>
  </w:style>
  <w:style w:type="paragraph" w:styleId="7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459</Words>
  <Characters>574</Characters>
  <Lines>0</Lines>
  <Paragraphs>0</Paragraphs>
  <TotalTime>12</TotalTime>
  <ScaleCrop>false</ScaleCrop>
  <LinksUpToDate>false</LinksUpToDate>
  <CharactersWithSpaces>578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2026-01-12T00:55:00Z</dcterms:created>
  <dc:creator>黑尾鸥</dc:creator>
  <cp:lastModifiedBy>lenovo</cp:lastModifiedBy>
  <dcterms:modified xsi:type="dcterms:W3CDTF">2026-06-16T01:51:58Z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029544E8B15A499898ECCEA634A587E6_13</vt:lpwstr>
  </property>
  <property fmtid="{D5CDD505-2E9C-101B-9397-08002B2CF9AE}" pid="4" name="KSOTemplateDocerSaveRecord">
    <vt:lpwstr>eyJoZGlkIjoiMTM0ZWY4N2IxNDE0ZTcwM2EwYjY2OThhZjMyMjM0MDAifQ==</vt:lpwstr>
  </property>
</Properties>
</file>