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  <w:rPr>
          <w:rFonts w:hint="eastAsia" w:eastAsia="宋体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涞源县</w:t>
      </w:r>
      <w:r>
        <w:rPr>
          <w:rFonts w:hint="eastAsia"/>
          <w:b/>
          <w:bCs w:val="0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市场监督管理局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</w:pP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202</w:t>
      </w:r>
      <w:r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年政府信息公开年度报告</w:t>
      </w:r>
    </w:p>
    <w:p>
      <w:pPr>
        <w:pStyle w:val="4"/>
        <w:numPr>
          <w:ilvl w:val="0"/>
          <w:numId w:val="1"/>
        </w:numPr>
        <w:rPr>
          <w:rFonts w:hint="eastAsia"/>
          <w:b/>
          <w:bCs w:val="0"/>
          <w:sz w:val="32"/>
          <w:szCs w:val="32"/>
        </w:rPr>
      </w:pPr>
      <w:r>
        <w:rPr>
          <w:rFonts w:hint="eastAsia"/>
          <w:b/>
          <w:bCs w:val="0"/>
          <w:sz w:val="32"/>
          <w:szCs w:val="32"/>
        </w:rPr>
        <w:t>总体情况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5</w:t>
      </w:r>
      <w:r>
        <w:rPr>
          <w:rFonts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年，</w:t>
      </w:r>
      <w:r>
        <w:rPr>
          <w:rFonts w:hint="eastAsia"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涞源县市场监督管理局坚持以公开为常态，紧紧围绕市场监管中心工作和公众关切，深入推进政府信息公开工作。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（一）加强组织领导：健全信息公开工作机制，明确责任分工，确保信息公开工作规范有序开展。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（二）完善公开平台：依托政府门户网站、政务新媒体、政务公开栏等多种渠道，及时发布市场监管相关信息。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（三）聚焦重点领域：围绕食品药品安全、特种设备安全、产品质量监管、知识产权保护、反垄断与反不正当竞争、消费维权等重点领域，加大信息公开力度，提升监管透明度。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（四）优化公开服务：规范依申请公开办理流程，提升答复质量和效率，保障公众知情权、参与权、监督权。</w:t>
      </w:r>
    </w:p>
    <w:p>
      <w:pPr>
        <w:pStyle w:val="4"/>
        <w:numPr>
          <w:ilvl w:val="0"/>
          <w:numId w:val="0"/>
        </w:numPr>
        <w:rPr>
          <w:rFonts w:hint="eastAsia"/>
          <w:b/>
          <w:bCs w:val="0"/>
          <w:sz w:val="32"/>
          <w:szCs w:val="32"/>
        </w:rPr>
      </w:pPr>
    </w:p>
    <w:p>
      <w:pPr>
        <w:pStyle w:val="4"/>
        <w:numPr>
          <w:ilvl w:val="0"/>
          <w:numId w:val="0"/>
        </w:numPr>
        <w:rPr>
          <w:rFonts w:hint="eastAsia"/>
          <w:b/>
          <w:bCs w:val="0"/>
          <w:sz w:val="32"/>
          <w:szCs w:val="32"/>
        </w:rPr>
      </w:pPr>
      <w:r>
        <w:rPr>
          <w:rFonts w:hint="eastAsia"/>
          <w:b/>
          <w:bCs w:val="0"/>
          <w:sz w:val="32"/>
          <w:szCs w:val="32"/>
        </w:rPr>
        <w:t>二、主动公开政府信息情况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（一）主动公开：</w:t>
      </w:r>
      <w:r>
        <w:rPr>
          <w:rFonts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严格按照政府信息公开要求，扎实开展政府信息公开工作，结合工作实际进行政府信息公开，</w:t>
      </w:r>
      <w:r>
        <w:rPr>
          <w:rFonts w:hint="default"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5</w:t>
      </w:r>
      <w:r>
        <w:rPr>
          <w:rFonts w:hint="default"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年在局微信公众号发布、转发内容共</w:t>
      </w:r>
      <w:r>
        <w:rPr>
          <w:rFonts w:hint="eastAsia"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368</w:t>
      </w:r>
      <w:r>
        <w:rPr>
          <w:rFonts w:hint="default"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篇，同时积极向上级宣传平台提供信息，整体工作较往年有了进一步提升。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（二）依申请公开：</w:t>
      </w:r>
      <w:r>
        <w:rPr>
          <w:rFonts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严格按照《中华人民共和国政府信息公开条例》，建立完善公开制度，我局于</w:t>
      </w:r>
      <w:r>
        <w:rPr>
          <w:rFonts w:hint="default"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5</w:t>
      </w:r>
      <w:r>
        <w:rPr>
          <w:rFonts w:hint="default"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年未接到依申请公开事项及行政复议情况。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（三）政府信息管理：</w:t>
      </w:r>
      <w:r>
        <w:rPr>
          <w:rFonts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严格按照《中华人民共和国政府信息公开条例》及《中华人民共和国保守国家秘密法》有关规定，完善政府信息主</w:t>
      </w:r>
      <w:bookmarkStart w:id="0" w:name="_GoBack"/>
      <w:bookmarkEnd w:id="0"/>
      <w:r>
        <w:rPr>
          <w:rFonts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动公开工作流程，规范做好政府信息公开保障工作。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（四）政府信息公开平台建设：</w:t>
      </w:r>
      <w:r>
        <w:rPr>
          <w:rFonts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积极维护微信公众号，明确专人负责，积极推进重点领域信息公开，做到内容严格把关、更新及时准确，同时定期开展自查，做到发现问题及时整改。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（五）监督保障：</w:t>
      </w:r>
      <w:r>
        <w:rPr>
          <w:rFonts w:ascii="仿宋_GB2312" w:hAnsi="宋体" w:eastAsia="仿宋_GB2312" w:cs="仿宋_GB2312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严格按照县政府要求，尽最大限度地实行公开，进一步提升市场监督管理局工作透明度，保障公众的知情权和监督权。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报告中所列数据的统计期限自202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年1月1日至202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年12月31日。</w:t>
      </w:r>
    </w:p>
    <w:p>
      <w:pPr>
        <w:pStyle w:val="4"/>
        <w:rPr>
          <w:rFonts w:hint="eastAsia"/>
        </w:rPr>
      </w:pPr>
      <w:r>
        <w:rPr>
          <w:rFonts w:hint="eastAsia"/>
          <w:b/>
          <w:bCs w:val="0"/>
          <w:sz w:val="32"/>
          <w:szCs w:val="40"/>
          <w:lang w:eastAsia="zh-CN"/>
        </w:rPr>
        <w:t>三</w:t>
      </w:r>
      <w:r>
        <w:rPr>
          <w:rFonts w:hint="eastAsia"/>
          <w:b/>
          <w:bCs w:val="0"/>
          <w:sz w:val="32"/>
          <w:szCs w:val="40"/>
        </w:rPr>
        <w:t>、主动公开政府信息情况</w:t>
      </w:r>
    </w:p>
    <w:tbl>
      <w:tblPr>
        <w:tblStyle w:val="5"/>
        <w:tblW w:w="9740" w:type="dxa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第二十条第（一）项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  <w:lang w:bidi="ar"/>
              </w:rPr>
              <w:t>本年</w:t>
            </w:r>
            <w:r>
              <w:rPr>
                <w:rFonts w:hint="eastAsia"/>
                <w:sz w:val="22"/>
                <w:szCs w:val="22"/>
                <w:lang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现行有效件数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val="en-US" w:eastAsia="zh-CN" w:bidi="ar"/>
              </w:rPr>
              <w:t xml:space="preserve">    </w:t>
            </w:r>
            <w:r>
              <w:rPr>
                <w:sz w:val="22"/>
                <w:szCs w:val="22"/>
                <w:lang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第二十条第（五）项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第二十条第（六）项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193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 w:bidi="ar"/>
              </w:rPr>
              <w:t>35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第二十条第（八）项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本年收费金额（单位：万元）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</w:tbl>
    <w:p>
      <w:pPr>
        <w:pStyle w:val="4"/>
      </w:pPr>
      <w:r>
        <w:rPr>
          <w:rFonts w:hint="eastAsia"/>
          <w:b/>
          <w:bCs w:val="0"/>
          <w:sz w:val="32"/>
          <w:szCs w:val="40"/>
          <w:lang w:eastAsia="zh-CN"/>
        </w:rPr>
        <w:t>四</w:t>
      </w:r>
      <w:r>
        <w:rPr>
          <w:rFonts w:hint="eastAsia"/>
          <w:b/>
          <w:bCs w:val="0"/>
          <w:sz w:val="32"/>
          <w:szCs w:val="40"/>
        </w:rPr>
        <w:t>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5"/>
        <w:gridCol w:w="3217"/>
        <w:gridCol w:w="688"/>
        <w:gridCol w:w="688"/>
        <w:gridCol w:w="688"/>
        <w:gridCol w:w="688"/>
        <w:gridCol w:w="688"/>
        <w:gridCol w:w="689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自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8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（二）部分公开</w:t>
            </w: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>
      <w:pPr>
        <w:pStyle w:val="4"/>
      </w:pPr>
      <w:r>
        <w:rPr>
          <w:rFonts w:hint="eastAsia"/>
          <w:b/>
          <w:bCs w:val="0"/>
          <w:sz w:val="32"/>
          <w:szCs w:val="40"/>
          <w:lang w:eastAsia="zh-CN"/>
        </w:rPr>
        <w:t>五</w:t>
      </w:r>
      <w:r>
        <w:rPr>
          <w:rFonts w:hint="eastAsia"/>
          <w:b/>
          <w:bCs w:val="0"/>
          <w:sz w:val="32"/>
          <w:szCs w:val="40"/>
        </w:rPr>
        <w:t>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</w:rPr>
      </w:pPr>
      <w:r>
        <w:rPr>
          <w:rFonts w:hint="eastAsia"/>
          <w:b/>
          <w:bCs w:val="0"/>
          <w:sz w:val="32"/>
          <w:szCs w:val="40"/>
          <w:lang w:eastAsia="zh-CN"/>
        </w:rPr>
        <w:t>六、</w:t>
      </w:r>
      <w:r>
        <w:rPr>
          <w:rFonts w:hint="eastAsia"/>
          <w:b/>
          <w:bCs w:val="0"/>
          <w:sz w:val="32"/>
          <w:szCs w:val="40"/>
        </w:rPr>
        <w:t>存在的主要问题及改进情况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 w:ascii="CESI仿宋-GB2312" w:hAnsi="CESI仿宋-GB2312" w:eastAsia="CESI仿宋-GB2312" w:cs="CESI仿宋-GB2312"/>
          <w:b/>
          <w:bCs w:val="0"/>
          <w:sz w:val="32"/>
          <w:szCs w:val="40"/>
        </w:rPr>
      </w:pPr>
      <w:r>
        <w:rPr>
          <w:rFonts w:hint="eastAsia" w:ascii="CESI仿宋-GB2312" w:hAnsi="CESI仿宋-GB2312" w:eastAsia="CESI仿宋-GB2312" w:cs="CESI仿宋-GB2312"/>
          <w:b w:val="0"/>
          <w:bCs/>
          <w:sz w:val="32"/>
          <w:szCs w:val="40"/>
        </w:rPr>
        <w:t>存在问题</w:t>
      </w:r>
      <w:r>
        <w:rPr>
          <w:rFonts w:hint="eastAsia" w:ascii="CESI仿宋-GB2312" w:hAnsi="CESI仿宋-GB2312" w:eastAsia="CESI仿宋-GB2312" w:cs="CESI仿宋-GB2312"/>
          <w:b/>
          <w:bCs w:val="0"/>
          <w:sz w:val="32"/>
          <w:szCs w:val="40"/>
        </w:rPr>
        <w:t>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 w:ascii="CESI仿宋-GB2312" w:hAnsi="CESI仿宋-GB2312" w:eastAsia="CESI仿宋-GB2312" w:cs="CESI仿宋-GB2312"/>
          <w:b w:val="0"/>
          <w:bCs/>
          <w:sz w:val="32"/>
          <w:szCs w:val="40"/>
        </w:rPr>
      </w:pPr>
      <w:r>
        <w:rPr>
          <w:rFonts w:hint="eastAsia" w:ascii="CESI仿宋-GB2312" w:hAnsi="CESI仿宋-GB2312" w:eastAsia="CESI仿宋-GB2312" w:cs="CESI仿宋-GB2312"/>
          <w:b w:val="0"/>
          <w:bCs/>
          <w:sz w:val="32"/>
          <w:szCs w:val="40"/>
        </w:rPr>
        <w:t>1. 信息公开的深度和广度有待拓展，部分领域信息更新不够及时；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 w:ascii="CESI仿宋-GB2312" w:hAnsi="CESI仿宋-GB2312" w:eastAsia="CESI仿宋-GB2312" w:cs="CESI仿宋-GB2312"/>
          <w:b w:val="0"/>
          <w:bCs/>
          <w:sz w:val="32"/>
          <w:szCs w:val="40"/>
        </w:rPr>
      </w:pPr>
      <w:r>
        <w:rPr>
          <w:rFonts w:hint="eastAsia" w:ascii="CESI仿宋-GB2312" w:hAnsi="CESI仿宋-GB2312" w:eastAsia="CESI仿宋-GB2312" w:cs="CESI仿宋-GB2312"/>
          <w:b w:val="0"/>
          <w:bCs/>
          <w:sz w:val="32"/>
          <w:szCs w:val="40"/>
        </w:rPr>
        <w:t>2. 政策解读形式较为单一，互动性和传播效果有待提升；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 w:ascii="CESI仿宋-GB2312" w:hAnsi="CESI仿宋-GB2312" w:eastAsia="CESI仿宋-GB2312" w:cs="CESI仿宋-GB2312"/>
          <w:b w:val="0"/>
          <w:bCs/>
          <w:sz w:val="32"/>
          <w:szCs w:val="40"/>
        </w:rPr>
      </w:pPr>
      <w:r>
        <w:rPr>
          <w:rFonts w:hint="eastAsia" w:ascii="CESI仿宋-GB2312" w:hAnsi="CESI仿宋-GB2312" w:eastAsia="CESI仿宋-GB2312" w:cs="CESI仿宋-GB2312"/>
          <w:b w:val="0"/>
          <w:bCs/>
          <w:sz w:val="32"/>
          <w:szCs w:val="40"/>
        </w:rPr>
        <w:t>3. 依申请公开办理的规范性和服务意识需进一步增强。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 w:ascii="CESI仿宋-GB2312" w:hAnsi="CESI仿宋-GB2312" w:eastAsia="CESI仿宋-GB2312" w:cs="CESI仿宋-GB2312"/>
          <w:b w:val="0"/>
          <w:bCs/>
          <w:sz w:val="32"/>
          <w:szCs w:val="40"/>
        </w:rPr>
      </w:pPr>
      <w:r>
        <w:rPr>
          <w:rFonts w:hint="eastAsia" w:ascii="CESI仿宋-GB2312" w:hAnsi="CESI仿宋-GB2312" w:eastAsia="CESI仿宋-GB2312" w:cs="CESI仿宋-GB2312"/>
          <w:b w:val="0"/>
          <w:bCs/>
          <w:sz w:val="32"/>
          <w:szCs w:val="40"/>
        </w:rPr>
        <w:t>改进措施：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 w:ascii="CESI仿宋-GB2312" w:hAnsi="CESI仿宋-GB2312" w:eastAsia="CESI仿宋-GB2312" w:cs="CESI仿宋-GB2312"/>
          <w:b w:val="0"/>
          <w:bCs/>
          <w:sz w:val="32"/>
          <w:szCs w:val="40"/>
        </w:rPr>
      </w:pPr>
      <w:r>
        <w:rPr>
          <w:rFonts w:hint="eastAsia" w:ascii="CESI仿宋-GB2312" w:hAnsi="CESI仿宋-GB2312" w:eastAsia="CESI仿宋-GB2312" w:cs="CESI仿宋-GB2312"/>
          <w:b w:val="0"/>
          <w:bCs/>
          <w:sz w:val="32"/>
          <w:szCs w:val="40"/>
        </w:rPr>
        <w:t>1. 完善信息公开目录，细化重点领域公开内容，确保信息及时、准确、全面；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 w:ascii="CESI仿宋-GB2312" w:hAnsi="CESI仿宋-GB2312" w:eastAsia="CESI仿宋-GB2312" w:cs="CESI仿宋-GB2312"/>
          <w:b w:val="0"/>
          <w:bCs/>
          <w:sz w:val="32"/>
          <w:szCs w:val="40"/>
        </w:rPr>
      </w:pPr>
      <w:r>
        <w:rPr>
          <w:rFonts w:hint="eastAsia" w:ascii="CESI仿宋-GB2312" w:hAnsi="CESI仿宋-GB2312" w:eastAsia="CESI仿宋-GB2312" w:cs="CESI仿宋-GB2312"/>
          <w:b w:val="0"/>
          <w:bCs/>
          <w:sz w:val="32"/>
          <w:szCs w:val="40"/>
        </w:rPr>
        <w:t>2. 创新政策解读方式，运用图表、视频、在线访谈等形式，提升解读效果；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 w:ascii="CESI仿宋-GB2312" w:hAnsi="CESI仿宋-GB2312" w:eastAsia="CESI仿宋-GB2312" w:cs="CESI仿宋-GB2312"/>
          <w:b w:val="0"/>
          <w:bCs/>
          <w:sz w:val="32"/>
          <w:szCs w:val="40"/>
        </w:rPr>
      </w:pPr>
      <w:r>
        <w:rPr>
          <w:rFonts w:hint="eastAsia" w:ascii="CESI仿宋-GB2312" w:hAnsi="CESI仿宋-GB2312" w:eastAsia="CESI仿宋-GB2312" w:cs="CESI仿宋-GB2312"/>
          <w:b w:val="0"/>
          <w:bCs/>
          <w:sz w:val="32"/>
          <w:szCs w:val="40"/>
        </w:rPr>
        <w:t>3. 加强业务培训，提升工作人员信息公开意识和办理能力；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 w:ascii="CESI仿宋-GB2312" w:hAnsi="CESI仿宋-GB2312" w:eastAsia="CESI仿宋-GB2312" w:cs="CESI仿宋-GB2312"/>
          <w:b w:val="0"/>
          <w:bCs/>
          <w:sz w:val="32"/>
          <w:szCs w:val="40"/>
        </w:rPr>
      </w:pPr>
      <w:r>
        <w:rPr>
          <w:rFonts w:hint="eastAsia" w:ascii="CESI仿宋-GB2312" w:hAnsi="CESI仿宋-GB2312" w:eastAsia="CESI仿宋-GB2312" w:cs="CESI仿宋-GB2312"/>
          <w:b w:val="0"/>
          <w:bCs/>
          <w:sz w:val="32"/>
          <w:szCs w:val="40"/>
        </w:rPr>
        <w:t>4. 优化信息公开平台功能，提升用户体验和便捷性。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b/>
          <w:bCs w:val="0"/>
          <w:sz w:val="32"/>
          <w:szCs w:val="40"/>
        </w:rPr>
      </w:pPr>
      <w:r>
        <w:rPr>
          <w:rFonts w:hint="eastAsia"/>
          <w:b/>
          <w:bCs w:val="0"/>
          <w:sz w:val="32"/>
          <w:szCs w:val="40"/>
          <w:lang w:eastAsia="zh-CN"/>
        </w:rPr>
        <w:t>七</w:t>
      </w:r>
      <w:r>
        <w:rPr>
          <w:rFonts w:hint="eastAsia"/>
          <w:b/>
          <w:bCs w:val="0"/>
          <w:sz w:val="32"/>
          <w:szCs w:val="40"/>
        </w:rPr>
        <w:t>、其他需要报告的事项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40"/>
        </w:rPr>
      </w:pPr>
      <w:r>
        <w:rPr>
          <w:rFonts w:hint="eastAsia" w:ascii="CESI仿宋-GB2312" w:hAnsi="CESI仿宋-GB2312" w:eastAsia="CESI仿宋-GB2312" w:cs="CESI仿宋-GB2312"/>
          <w:sz w:val="32"/>
          <w:szCs w:val="40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CESI仿宋-GB2312" w:hAnsi="CESI仿宋-GB2312" w:eastAsia="CESI仿宋-GB2312" w:cs="CESI仿宋-GB2312"/>
          <w:sz w:val="32"/>
          <w:szCs w:val="40"/>
          <w:lang w:val="en-US" w:eastAsia="zh-CN"/>
        </w:rPr>
        <w:t>5</w:t>
      </w:r>
      <w:r>
        <w:rPr>
          <w:rFonts w:hint="eastAsia" w:ascii="CESI仿宋-GB2312" w:hAnsi="CESI仿宋-GB2312" w:eastAsia="CESI仿宋-GB2312" w:cs="CESI仿宋-GB2312"/>
          <w:sz w:val="32"/>
          <w:szCs w:val="40"/>
        </w:rPr>
        <w:t>年我</w:t>
      </w:r>
      <w:r>
        <w:rPr>
          <w:rFonts w:hint="eastAsia" w:ascii="CESI仿宋-GB2312" w:hAnsi="CESI仿宋-GB2312" w:eastAsia="CESI仿宋-GB2312" w:cs="CESI仿宋-GB2312"/>
          <w:sz w:val="32"/>
          <w:szCs w:val="40"/>
          <w:lang w:val="en-US" w:eastAsia="zh-CN"/>
        </w:rPr>
        <w:t>单位</w:t>
      </w:r>
      <w:r>
        <w:rPr>
          <w:rFonts w:hint="eastAsia" w:ascii="CESI仿宋-GB2312" w:hAnsi="CESI仿宋-GB2312" w:eastAsia="CESI仿宋-GB2312" w:cs="CESI仿宋-GB2312"/>
          <w:sz w:val="32"/>
          <w:szCs w:val="40"/>
        </w:rPr>
        <w:t>未收取信息处理费。</w:t>
      </w:r>
    </w:p>
    <w:p>
      <w:pPr>
        <w:pStyle w:val="4"/>
        <w:rPr>
          <w:rFonts w:hint="eastAsia" w:ascii="CESI仿宋-GB2312" w:hAnsi="CESI仿宋-GB2312" w:eastAsia="CESI仿宋-GB2312" w:cs="CESI仿宋-GB2312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C2A9461"/>
    <w:multiLevelType w:val="singleLevel"/>
    <w:tmpl w:val="FC2A946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iNDUwMjczYjRkMjE5NmQ3OGVlZjgxMmE2ZjhjZTMifQ=="/>
  </w:docVars>
  <w:rsids>
    <w:rsidRoot w:val="3E5B229F"/>
    <w:rsid w:val="00013325"/>
    <w:rsid w:val="003F474B"/>
    <w:rsid w:val="006000DD"/>
    <w:rsid w:val="00601565"/>
    <w:rsid w:val="00692E1B"/>
    <w:rsid w:val="00754D50"/>
    <w:rsid w:val="00976581"/>
    <w:rsid w:val="00BC7FF5"/>
    <w:rsid w:val="00DF58E6"/>
    <w:rsid w:val="00FF7963"/>
    <w:rsid w:val="093F0D49"/>
    <w:rsid w:val="259D0E7A"/>
    <w:rsid w:val="302857C1"/>
    <w:rsid w:val="34880F47"/>
    <w:rsid w:val="3D3F5700"/>
    <w:rsid w:val="3D3FE59A"/>
    <w:rsid w:val="3DAF755A"/>
    <w:rsid w:val="3E5B229F"/>
    <w:rsid w:val="440427CF"/>
    <w:rsid w:val="47F6649C"/>
    <w:rsid w:val="5BFE818C"/>
    <w:rsid w:val="6D6B5CE1"/>
    <w:rsid w:val="6F85042D"/>
    <w:rsid w:val="72826491"/>
    <w:rsid w:val="749C3ADE"/>
    <w:rsid w:val="77F3F202"/>
    <w:rsid w:val="BFF13311"/>
    <w:rsid w:val="F0F9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jc w:val="center"/>
    </w:pPr>
    <w:rPr>
      <w:rFonts w:ascii="仿宋" w:hAnsi="仿宋" w:eastAsia="仿宋" w:cs="仿宋"/>
      <w:bCs/>
      <w:color w:val="333333"/>
      <w:kern w:val="2"/>
      <w:sz w:val="32"/>
      <w:szCs w:val="32"/>
      <w:shd w:val="clear" w:color="auto" w:fill="FFFFFF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4"/>
    </w:rPr>
  </w:style>
  <w:style w:type="character" w:customStyle="1" w:styleId="7">
    <w:name w:val="页眉 Char"/>
    <w:basedOn w:val="6"/>
    <w:link w:val="3"/>
    <w:qFormat/>
    <w:uiPriority w:val="0"/>
    <w:rPr>
      <w:rFonts w:ascii="仿宋_GB2312" w:eastAsia="仿宋_GB2312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仿宋_GB2312"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4</Pages>
  <Words>1084</Words>
  <Characters>1119</Characters>
  <Lines>15</Lines>
  <Paragraphs>4</Paragraphs>
  <TotalTime>154</TotalTime>
  <ScaleCrop>false</ScaleCrop>
  <LinksUpToDate>false</LinksUpToDate>
  <CharactersWithSpaces>1129</CharactersWithSpaces>
  <Application>WPS Office_11.8.2.12024_F1E327BC-269C-435d-A152-05C5408002CA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2019-12-30T19:38:00Z</dcterms:created>
  <dc:creator>小公举</dc:creator>
  <cp:lastModifiedBy>user</cp:lastModifiedBy>
  <cp:lastPrinted>2019-12-30T19:40:00Z</cp:lastPrinted>
  <dcterms:modified xsi:type="dcterms:W3CDTF">2026-01-27T10:04:20Z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2052-11.8.2.12024</vt:lpwstr>
  </property>
  <property fmtid="{D5CDD505-2E9C-101B-9397-08002B2CF9AE}" pid="3" name="ICV">
    <vt:lpwstr>E5E66BFF1D8CD7BD6CBC8D67FA955F6D</vt:lpwstr>
  </property>
  <property fmtid="{D5CDD505-2E9C-101B-9397-08002B2CF9AE}" pid="4" name="KSOTemplateDocerSaveRecord">
    <vt:lpwstr>eyJoZGlkIjoiZmNiNDUwMjczYjRkMjE5NmQ3OGVlZjgxMmE2ZjhjZTMiLCJ1c2VySWQiOiI1MTkyMDA5NTUifQ==</vt:lpwstr>
  </property>
</Properties>
</file>