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7F804">
      <w:pPr>
        <w:keepNext w:val="0"/>
        <w:keepLines w:val="0"/>
        <w:pageBreakBefore w:val="0"/>
        <w:kinsoku/>
        <w:wordWrap/>
        <w:overflowPunct/>
        <w:topLinePunct w:val="0"/>
        <w:bidi w:val="0"/>
        <w:spacing w:line="560" w:lineRule="exact"/>
        <w:jc w:val="center"/>
        <w:textAlignment w:val="auto"/>
        <w:rPr>
          <w:rFonts w:ascii="仿宋_GB2312" w:hAnsi="宋体" w:eastAsia="仿宋_GB2312"/>
          <w:color w:val="auto"/>
          <w:highlight w:val="none"/>
        </w:rPr>
      </w:pPr>
    </w:p>
    <w:p w14:paraId="666B2965">
      <w:pPr>
        <w:keepNext w:val="0"/>
        <w:keepLines w:val="0"/>
        <w:pageBreakBefore w:val="0"/>
        <w:kinsoku/>
        <w:wordWrap/>
        <w:overflowPunct/>
        <w:topLinePunct w:val="0"/>
        <w:bidi w:val="0"/>
        <w:spacing w:line="560" w:lineRule="exact"/>
        <w:jc w:val="center"/>
        <w:textAlignment w:val="auto"/>
        <w:rPr>
          <w:rFonts w:ascii="仿宋_GB2312" w:hAnsi="宋体" w:eastAsia="仿宋_GB2312"/>
          <w:color w:val="auto"/>
          <w:highlight w:val="none"/>
        </w:rPr>
      </w:pPr>
    </w:p>
    <w:p w14:paraId="45C24283">
      <w:pPr>
        <w:pStyle w:val="5"/>
        <w:keepNext w:val="0"/>
        <w:keepLines w:val="0"/>
        <w:pageBreakBefore w:val="0"/>
        <w:kinsoku/>
        <w:wordWrap/>
        <w:overflowPunct/>
        <w:topLinePunct w:val="0"/>
        <w:bidi w:val="0"/>
        <w:spacing w:line="560" w:lineRule="exact"/>
        <w:ind w:left="0" w:leftChars="0" w:firstLine="0" w:firstLineChars="0"/>
        <w:textAlignment w:val="auto"/>
        <w:rPr>
          <w:rFonts w:hint="eastAsia" w:eastAsia="宋体"/>
          <w:color w:val="auto"/>
          <w:highlight w:val="none"/>
          <w:lang w:eastAsia="zh-CN"/>
        </w:rPr>
      </w:pPr>
    </w:p>
    <w:p w14:paraId="7906F3E7">
      <w:pPr>
        <w:keepNext w:val="0"/>
        <w:keepLines w:val="0"/>
        <w:pageBreakBefore w:val="0"/>
        <w:kinsoku/>
        <w:wordWrap/>
        <w:overflowPunct/>
        <w:topLinePunct w:val="0"/>
        <w:bidi w:val="0"/>
        <w:spacing w:line="560" w:lineRule="exact"/>
        <w:textAlignment w:val="auto"/>
        <w:rPr>
          <w:rFonts w:ascii="仿宋_GB2312" w:hAnsi="宋体" w:eastAsia="仿宋_GB2312" w:cs="宋体"/>
          <w:color w:val="auto"/>
          <w:sz w:val="32"/>
          <w:szCs w:val="32"/>
          <w:highlight w:val="none"/>
        </w:rPr>
      </w:pPr>
    </w:p>
    <w:p w14:paraId="60E554DB">
      <w:pPr>
        <w:pStyle w:val="2"/>
      </w:pPr>
    </w:p>
    <w:p w14:paraId="713759B2">
      <w:pPr>
        <w:pStyle w:val="3"/>
      </w:pPr>
    </w:p>
    <w:p w14:paraId="3B1D488E">
      <w:pPr>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涞</w:t>
      </w:r>
      <w:r>
        <w:rPr>
          <w:rFonts w:hint="eastAsia" w:ascii="方正仿宋_GB2312" w:hAnsi="方正仿宋_GB2312" w:eastAsia="方正仿宋_GB2312" w:cs="方正仿宋_GB2312"/>
          <w:sz w:val="32"/>
          <w:szCs w:val="32"/>
          <w:highlight w:val="none"/>
          <w:lang w:eastAsia="zh-CN"/>
        </w:rPr>
        <w:t>农组</w:t>
      </w:r>
      <w:r>
        <w:rPr>
          <w:rFonts w:hint="eastAsia" w:ascii="方正仿宋_GB2312" w:hAnsi="方正仿宋_GB2312" w:eastAsia="方正仿宋_GB2312" w:cs="方正仿宋_GB2312"/>
          <w:sz w:val="32"/>
          <w:szCs w:val="32"/>
          <w:highlight w:val="none"/>
          <w:lang w:val="en-US" w:eastAsia="zh-CN"/>
        </w:rPr>
        <w:t>[</w:t>
      </w: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5]14</w:t>
      </w:r>
      <w:r>
        <w:rPr>
          <w:rFonts w:hint="eastAsia" w:ascii="方正仿宋_GB2312" w:hAnsi="方正仿宋_GB2312" w:eastAsia="方正仿宋_GB2312" w:cs="方正仿宋_GB2312"/>
          <w:sz w:val="32"/>
          <w:szCs w:val="32"/>
          <w:highlight w:val="none"/>
        </w:rPr>
        <w:t>号</w:t>
      </w:r>
    </w:p>
    <w:p w14:paraId="71DAE5C8">
      <w:pPr>
        <w:pStyle w:val="19"/>
        <w:keepNext w:val="0"/>
        <w:keepLines w:val="0"/>
        <w:pageBreakBefore w:val="0"/>
        <w:kinsoku/>
        <w:wordWrap/>
        <w:overflowPunct/>
        <w:topLinePunct w:val="0"/>
        <w:bidi w:val="0"/>
        <w:spacing w:line="560" w:lineRule="exact"/>
        <w:textAlignment w:val="auto"/>
        <w:rPr>
          <w:color w:val="auto"/>
          <w:highlight w:val="none"/>
        </w:rPr>
      </w:pPr>
    </w:p>
    <w:p w14:paraId="0C6B2CD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lang w:eastAsia="zh-CN"/>
        </w:rPr>
      </w:pPr>
      <w:r>
        <w:rPr>
          <w:rFonts w:hint="eastAsia" w:ascii="方正小标宋简体" w:hAnsi="方正小标宋简体" w:eastAsia="方正小标宋简体" w:cs="方正小标宋简体"/>
          <w:sz w:val="44"/>
          <w:szCs w:val="44"/>
          <w:highlight w:val="none"/>
          <w:lang w:eastAsia="zh-CN"/>
        </w:rPr>
        <w:t>中共</w:t>
      </w:r>
      <w:r>
        <w:rPr>
          <w:rFonts w:hint="eastAsia" w:ascii="方正小标宋简体" w:hAnsi="方正小标宋简体" w:eastAsia="方正小标宋简体" w:cs="方正小标宋简体"/>
          <w:sz w:val="44"/>
          <w:szCs w:val="44"/>
          <w:highlight w:val="none"/>
        </w:rPr>
        <w:t>涞源县</w:t>
      </w:r>
      <w:r>
        <w:rPr>
          <w:rFonts w:hint="eastAsia" w:ascii="方正小标宋简体" w:hAnsi="方正小标宋简体" w:eastAsia="方正小标宋简体" w:cs="方正小标宋简体"/>
          <w:sz w:val="44"/>
          <w:szCs w:val="44"/>
          <w:highlight w:val="none"/>
          <w:lang w:eastAsia="zh-CN"/>
        </w:rPr>
        <w:t>委农村工作领导小组</w:t>
      </w:r>
    </w:p>
    <w:p w14:paraId="4640BB3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关于印发《涞源县202</w:t>
      </w:r>
      <w:r>
        <w:rPr>
          <w:rFonts w:hint="eastAsia" w:ascii="方正小标宋简体" w:hAnsi="方正小标宋简体" w:eastAsia="方正小标宋简体" w:cs="方正小标宋简体"/>
          <w:sz w:val="44"/>
          <w:szCs w:val="44"/>
          <w:highlight w:val="none"/>
          <w:lang w:val="en-US" w:eastAsia="zh-CN"/>
        </w:rPr>
        <w:t>5</w:t>
      </w:r>
      <w:r>
        <w:rPr>
          <w:rFonts w:hint="eastAsia" w:ascii="方正小标宋简体" w:hAnsi="方正小标宋简体" w:eastAsia="方正小标宋简体" w:cs="方正小标宋简体"/>
          <w:sz w:val="44"/>
          <w:szCs w:val="44"/>
          <w:highlight w:val="none"/>
        </w:rPr>
        <w:t>年度</w:t>
      </w:r>
      <w:r>
        <w:rPr>
          <w:rFonts w:hint="eastAsia" w:ascii="方正小标宋简体" w:hAnsi="方正小标宋简体" w:eastAsia="方正小标宋简体" w:cs="方正小标宋简体"/>
          <w:sz w:val="44"/>
          <w:szCs w:val="44"/>
          <w:highlight w:val="none"/>
          <w:lang w:eastAsia="zh-CN"/>
        </w:rPr>
        <w:t>调整</w:t>
      </w:r>
      <w:r>
        <w:rPr>
          <w:rFonts w:hint="eastAsia" w:ascii="方正小标宋简体" w:hAnsi="方正小标宋简体" w:eastAsia="方正小标宋简体" w:cs="方正小标宋简体"/>
          <w:sz w:val="44"/>
          <w:szCs w:val="44"/>
          <w:highlight w:val="none"/>
        </w:rPr>
        <w:t>财政衔接</w:t>
      </w:r>
    </w:p>
    <w:p w14:paraId="6EB175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资金项目计划》的通知</w:t>
      </w:r>
    </w:p>
    <w:p w14:paraId="6DE4B39D">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方正小标宋简体" w:eastAsia="方正小标宋简体" w:cs="方正小标宋简体"/>
          <w:color w:val="auto"/>
          <w:sz w:val="44"/>
          <w:szCs w:val="44"/>
          <w:highlight w:val="none"/>
        </w:rPr>
      </w:pPr>
    </w:p>
    <w:p w14:paraId="501678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各</w:t>
      </w:r>
      <w:r>
        <w:rPr>
          <w:rFonts w:hint="eastAsia" w:ascii="方正仿宋_GB2312" w:hAnsi="方正仿宋_GB2312" w:eastAsia="方正仿宋_GB2312" w:cs="方正仿宋_GB2312"/>
          <w:sz w:val="32"/>
          <w:szCs w:val="32"/>
          <w:highlight w:val="none"/>
          <w:lang w:eastAsia="zh-CN"/>
        </w:rPr>
        <w:t>乡（镇）人民政府、县直有关部门</w:t>
      </w:r>
      <w:r>
        <w:rPr>
          <w:rFonts w:hint="eastAsia" w:ascii="方正仿宋_GB2312" w:hAnsi="方正仿宋_GB2312" w:eastAsia="方正仿宋_GB2312" w:cs="方正仿宋_GB2312"/>
          <w:sz w:val="32"/>
          <w:szCs w:val="32"/>
          <w:highlight w:val="none"/>
        </w:rPr>
        <w:t>：</w:t>
      </w:r>
    </w:p>
    <w:p w14:paraId="56AE60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方正仿宋_GB2312" w:hAnsi="方正仿宋_GB2312" w:eastAsia="方正仿宋_GB2312" w:cs="方正仿宋_GB2312"/>
          <w:sz w:val="32"/>
          <w:szCs w:val="32"/>
          <w:highlight w:val="none"/>
        </w:rPr>
        <w:t>《涞源县202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年度</w:t>
      </w:r>
      <w:r>
        <w:rPr>
          <w:rFonts w:hint="eastAsia" w:ascii="方正仿宋_GB2312" w:hAnsi="方正仿宋_GB2312" w:eastAsia="方正仿宋_GB2312" w:cs="方正仿宋_GB2312"/>
          <w:sz w:val="32"/>
          <w:szCs w:val="32"/>
          <w:highlight w:val="none"/>
          <w:lang w:eastAsia="zh-CN"/>
        </w:rPr>
        <w:t>调整</w:t>
      </w:r>
      <w:r>
        <w:rPr>
          <w:rFonts w:hint="eastAsia" w:ascii="方正仿宋_GB2312" w:hAnsi="方正仿宋_GB2312" w:eastAsia="方正仿宋_GB2312" w:cs="方正仿宋_GB2312"/>
          <w:sz w:val="32"/>
          <w:szCs w:val="32"/>
          <w:highlight w:val="none"/>
        </w:rPr>
        <w:t>财政衔接资金项目计划》已经</w:t>
      </w:r>
      <w:r>
        <w:rPr>
          <w:rFonts w:hint="eastAsia" w:ascii="方正仿宋_GB2312" w:hAnsi="方正仿宋_GB2312" w:eastAsia="方正仿宋_GB2312" w:cs="方正仿宋_GB2312"/>
          <w:sz w:val="32"/>
          <w:szCs w:val="32"/>
          <w:highlight w:val="none"/>
          <w:lang w:eastAsia="zh-CN"/>
        </w:rPr>
        <w:t>中共涞源县委农村工作领导小组</w:t>
      </w:r>
      <w:r>
        <w:rPr>
          <w:rFonts w:hint="eastAsia" w:ascii="方正仿宋_GB2312" w:hAnsi="方正仿宋_GB2312" w:eastAsia="方正仿宋_GB2312" w:cs="方正仿宋_GB2312"/>
          <w:sz w:val="32"/>
          <w:szCs w:val="32"/>
          <w:highlight w:val="none"/>
        </w:rPr>
        <w:t>会议研究同意，现印发给你们，请结合实际，认真抓好落实。</w:t>
      </w: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ab/>
      </w:r>
    </w:p>
    <w:p w14:paraId="5A86B681">
      <w:pPr>
        <w:keepNext w:val="0"/>
        <w:keepLines w:val="0"/>
        <w:pageBreakBefore w:val="0"/>
        <w:kinsoku/>
        <w:wordWrap/>
        <w:overflowPunct/>
        <w:topLinePunct w:val="0"/>
        <w:autoSpaceDE/>
        <w:autoSpaceDN/>
        <w:bidi w:val="0"/>
        <w:adjustRightInd/>
        <w:snapToGrid/>
        <w:spacing w:line="560" w:lineRule="exact"/>
        <w:textAlignment w:val="auto"/>
        <w:rPr>
          <w:rFonts w:ascii="仿宋_GB2312" w:eastAsia="仿宋_GB2312"/>
          <w:color w:val="auto"/>
          <w:sz w:val="32"/>
          <w:szCs w:val="32"/>
          <w:highlight w:val="none"/>
        </w:rPr>
      </w:pPr>
    </w:p>
    <w:p w14:paraId="6E20EF6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eastAsia="zh-CN"/>
        </w:rPr>
        <w:t>中共</w:t>
      </w:r>
      <w:r>
        <w:rPr>
          <w:rFonts w:hint="eastAsia" w:ascii="方正仿宋_GB2312" w:hAnsi="方正仿宋_GB2312" w:eastAsia="方正仿宋_GB2312" w:cs="方正仿宋_GB2312"/>
          <w:sz w:val="32"/>
          <w:szCs w:val="32"/>
          <w:highlight w:val="none"/>
        </w:rPr>
        <w:t>涞源县</w:t>
      </w:r>
      <w:r>
        <w:rPr>
          <w:rFonts w:hint="eastAsia" w:ascii="方正仿宋_GB2312" w:hAnsi="方正仿宋_GB2312" w:eastAsia="方正仿宋_GB2312" w:cs="方正仿宋_GB2312"/>
          <w:sz w:val="32"/>
          <w:szCs w:val="32"/>
          <w:highlight w:val="none"/>
          <w:lang w:eastAsia="zh-CN"/>
        </w:rPr>
        <w:t>委农村工作领导小组</w:t>
      </w:r>
    </w:p>
    <w:p w14:paraId="2DEABCC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val="en-US" w:eastAsia="zh-CN"/>
        </w:rPr>
        <w:t>12</w:t>
      </w:r>
      <w:r>
        <w:rPr>
          <w:rFonts w:hint="eastAsia" w:ascii="方正仿宋_GB2312" w:hAnsi="方正仿宋_GB2312" w:eastAsia="方正仿宋_GB2312" w:cs="方正仿宋_GB2312"/>
          <w:sz w:val="32"/>
          <w:szCs w:val="32"/>
          <w:highlight w:val="none"/>
        </w:rPr>
        <w:t>月</w:t>
      </w:r>
      <w:r>
        <w:rPr>
          <w:rFonts w:hint="eastAsia" w:ascii="方正仿宋_GB2312" w:hAnsi="方正仿宋_GB2312" w:eastAsia="方正仿宋_GB2312" w:cs="方正仿宋_GB2312"/>
          <w:sz w:val="32"/>
          <w:szCs w:val="32"/>
          <w:highlight w:val="none"/>
          <w:lang w:val="en-US" w:eastAsia="zh-CN"/>
        </w:rPr>
        <w:t>18</w:t>
      </w:r>
      <w:r>
        <w:rPr>
          <w:rFonts w:hint="eastAsia" w:ascii="方正仿宋_GB2312" w:hAnsi="方正仿宋_GB2312" w:eastAsia="方正仿宋_GB2312" w:cs="方正仿宋_GB2312"/>
          <w:sz w:val="32"/>
          <w:szCs w:val="32"/>
          <w:highlight w:val="none"/>
        </w:rPr>
        <w:t>日</w:t>
      </w:r>
    </w:p>
    <w:p w14:paraId="5926F42A">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color w:val="auto"/>
          <w:sz w:val="44"/>
          <w:szCs w:val="44"/>
          <w:highlight w:val="none"/>
        </w:rPr>
      </w:pPr>
    </w:p>
    <w:p w14:paraId="46853882">
      <w:pPr>
        <w:pStyle w:val="2"/>
        <w:rPr>
          <w:rFonts w:hint="eastAsia" w:ascii="方正小标宋简体" w:hAnsi="方正小标宋简体" w:eastAsia="方正小标宋简体" w:cs="方正小标宋简体"/>
          <w:color w:val="auto"/>
          <w:sz w:val="44"/>
          <w:szCs w:val="44"/>
          <w:highlight w:val="none"/>
        </w:rPr>
      </w:pPr>
    </w:p>
    <w:p w14:paraId="711B5E1B">
      <w:pPr>
        <w:pStyle w:val="3"/>
        <w:rPr>
          <w:rFonts w:hint="eastAsia" w:ascii="方正小标宋简体" w:hAnsi="方正小标宋简体" w:eastAsia="方正小标宋简体" w:cs="方正小标宋简体"/>
          <w:color w:val="auto"/>
          <w:sz w:val="44"/>
          <w:szCs w:val="44"/>
          <w:highlight w:val="none"/>
        </w:rPr>
      </w:pPr>
    </w:p>
    <w:p w14:paraId="58B74D60">
      <w:pPr>
        <w:pStyle w:val="2"/>
        <w:rPr>
          <w:rFonts w:hint="eastAsia"/>
          <w:highlight w:val="none"/>
        </w:rPr>
      </w:pPr>
    </w:p>
    <w:p w14:paraId="19DA3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涞源县202</w:t>
      </w:r>
      <w:r>
        <w:rPr>
          <w:rFonts w:hint="eastAsia" w:ascii="方正小标宋简体" w:hAnsi="方正小标宋简体" w:eastAsia="方正小标宋简体" w:cs="方正小标宋简体"/>
          <w:sz w:val="44"/>
          <w:szCs w:val="44"/>
          <w:highlight w:val="none"/>
          <w:lang w:val="en-US" w:eastAsia="zh-CN"/>
        </w:rPr>
        <w:t>5</w:t>
      </w:r>
      <w:r>
        <w:rPr>
          <w:rFonts w:hint="eastAsia" w:ascii="方正小标宋简体" w:hAnsi="方正小标宋简体" w:eastAsia="方正小标宋简体" w:cs="方正小标宋简体"/>
          <w:sz w:val="44"/>
          <w:szCs w:val="44"/>
          <w:highlight w:val="none"/>
        </w:rPr>
        <w:t>年度</w:t>
      </w:r>
      <w:r>
        <w:rPr>
          <w:rFonts w:hint="eastAsia" w:ascii="方正小标宋简体" w:hAnsi="方正小标宋简体" w:eastAsia="方正小标宋简体" w:cs="方正小标宋简体"/>
          <w:sz w:val="44"/>
          <w:szCs w:val="44"/>
          <w:highlight w:val="none"/>
          <w:lang w:eastAsia="zh-CN"/>
        </w:rPr>
        <w:t>调整</w:t>
      </w:r>
      <w:bookmarkStart w:id="0" w:name="_GoBack"/>
      <w:bookmarkEnd w:id="0"/>
      <w:r>
        <w:rPr>
          <w:rFonts w:hint="eastAsia" w:ascii="方正小标宋简体" w:hAnsi="方正小标宋简体" w:eastAsia="方正小标宋简体" w:cs="方正小标宋简体"/>
          <w:sz w:val="44"/>
          <w:szCs w:val="44"/>
          <w:highlight w:val="none"/>
        </w:rPr>
        <w:t>财政衔接资金项目计划</w:t>
      </w:r>
    </w:p>
    <w:p w14:paraId="101798AC">
      <w:pPr>
        <w:pStyle w:val="2"/>
        <w:keepNext w:val="0"/>
        <w:keepLines w:val="0"/>
        <w:pageBreakBefore w:val="0"/>
        <w:widowControl w:val="0"/>
        <w:kinsoku/>
        <w:wordWrap/>
        <w:overflowPunct/>
        <w:topLinePunct w:val="0"/>
        <w:autoSpaceDE/>
        <w:autoSpaceDN/>
        <w:bidi w:val="0"/>
        <w:adjustRightInd/>
        <w:snapToGrid/>
        <w:spacing w:line="260" w:lineRule="exact"/>
        <w:textAlignment w:val="auto"/>
        <w:rPr>
          <w:color w:val="auto"/>
          <w:highlight w:val="none"/>
        </w:rPr>
      </w:pPr>
    </w:p>
    <w:p w14:paraId="7BFB0A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为认真贯彻落实《河北省财政厅等六部门关于印发&lt;河北省财政衔接推进乡村振兴补助资金管理办法&gt;的通知》（冀财农【2023】34号）精神，切实加强和规范</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资金使用管理，结合我县巩固拓展脱贫攻坚成果和乡村振兴工作任务，202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年度</w:t>
      </w:r>
      <w:r>
        <w:rPr>
          <w:rFonts w:hint="eastAsia" w:ascii="方正仿宋_GB2312" w:hAnsi="方正仿宋_GB2312" w:eastAsia="方正仿宋_GB2312" w:cs="方正仿宋_GB2312"/>
          <w:sz w:val="32"/>
          <w:szCs w:val="32"/>
          <w:highlight w:val="none"/>
          <w:lang w:eastAsia="zh-CN"/>
        </w:rPr>
        <w:t>调整</w:t>
      </w:r>
      <w:r>
        <w:rPr>
          <w:rFonts w:hint="eastAsia" w:ascii="方正仿宋_GB2312" w:hAnsi="方正仿宋_GB2312" w:eastAsia="方正仿宋_GB2312" w:cs="方正仿宋_GB2312"/>
          <w:sz w:val="32"/>
          <w:szCs w:val="32"/>
          <w:highlight w:val="none"/>
        </w:rPr>
        <w:t>财政衔接资金项目</w:t>
      </w:r>
      <w:r>
        <w:rPr>
          <w:rFonts w:hint="eastAsia" w:ascii="方正仿宋_GB2312" w:hAnsi="方正仿宋_GB2312" w:eastAsia="方正仿宋_GB2312" w:cs="方正仿宋_GB2312"/>
          <w:sz w:val="32"/>
          <w:szCs w:val="32"/>
          <w:highlight w:val="none"/>
          <w:lang w:eastAsia="zh-CN"/>
        </w:rPr>
        <w:t>安排如下。</w:t>
      </w:r>
    </w:p>
    <w:p w14:paraId="6E001A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lang w:eastAsia="zh-CN"/>
        </w:rPr>
        <w:t>一、</w:t>
      </w:r>
      <w:r>
        <w:rPr>
          <w:rFonts w:hint="eastAsia" w:ascii="黑体" w:hAnsi="黑体" w:eastAsia="黑体" w:cs="黑体"/>
          <w:sz w:val="32"/>
          <w:szCs w:val="32"/>
          <w:highlight w:val="none"/>
        </w:rPr>
        <w:t>总体要求</w:t>
      </w:r>
    </w:p>
    <w:p w14:paraId="54BB93C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（一）指导思想</w:t>
      </w:r>
    </w:p>
    <w:p w14:paraId="3B1407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以习近平新时代中国特色社会主义思想为指导，全面落实中央、省关于巩固拓展脱贫攻坚成果同乡村振兴有效衔接的决策部署，全面落实中央、省、市、县相关会议精神。以“十四五”乡村振兴规划为引领</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以巩固拓展脱贫攻坚成果同乡村振兴有效衔接为目标，以提高</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资金使用精准度和成效为导向，以具体建设项目为抓手，集中使用</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资金，进一步实现产业兴旺、生态宜居、乡风文明、治理有效、生活富裕的总体目标。</w:t>
      </w:r>
    </w:p>
    <w:p w14:paraId="0D4BE36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（二）编制必要性</w:t>
      </w:r>
    </w:p>
    <w:p w14:paraId="525E29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通过财政衔接资金项目计划</w:t>
      </w:r>
      <w:r>
        <w:rPr>
          <w:rFonts w:hint="eastAsia" w:ascii="方正仿宋_GB2312" w:hAnsi="方正仿宋_GB2312" w:eastAsia="方正仿宋_GB2312" w:cs="方正仿宋_GB2312"/>
          <w:sz w:val="32"/>
          <w:szCs w:val="32"/>
          <w:highlight w:val="none"/>
          <w:lang w:eastAsia="zh-CN"/>
        </w:rPr>
        <w:t>编制</w:t>
      </w:r>
      <w:r>
        <w:rPr>
          <w:rFonts w:hint="eastAsia" w:ascii="方正仿宋_GB2312" w:hAnsi="方正仿宋_GB2312" w:eastAsia="方正仿宋_GB2312" w:cs="方正仿宋_GB2312"/>
          <w:sz w:val="32"/>
          <w:szCs w:val="32"/>
          <w:highlight w:val="none"/>
        </w:rPr>
        <w:t>，有效解决健全防止返贫致贫监测和帮扶机制、脱贫劳动力（含监测帮扶对象）稳定就业、培育和壮大特色优势产业以及补齐必要的农村人居环境整治和小型公益性基础设施建设短板等方面的瓶颈问题，为实现乡村振兴奠定坚实基础。</w:t>
      </w:r>
    </w:p>
    <w:p w14:paraId="5DACC16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（三）目标任务</w:t>
      </w:r>
    </w:p>
    <w:p w14:paraId="26B9D9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在</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的投入和撬动下，通过防止返贫致贫监测和帮扶、稳定就业、产业发展、基础设施建设等项目的实施，持续巩固和提升脱贫成果，脱贫人口实现可持续稳定增收，确保不发生规模性返贫，确保实现巩固拓展脱贫攻坚成果同乡村振兴有效衔接，确保乡村振兴有序推进。</w:t>
      </w:r>
    </w:p>
    <w:p w14:paraId="4D2F365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（四）达到综合效果</w:t>
      </w:r>
    </w:p>
    <w:p w14:paraId="27FA93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通过</w:t>
      </w:r>
      <w:r>
        <w:rPr>
          <w:rFonts w:hint="eastAsia" w:ascii="方正仿宋_GB2312" w:hAnsi="方正仿宋_GB2312" w:eastAsia="方正仿宋_GB2312" w:cs="方正仿宋_GB2312"/>
          <w:sz w:val="32"/>
          <w:szCs w:val="32"/>
          <w:highlight w:val="none"/>
          <w:lang w:val="en-US" w:eastAsia="zh-CN"/>
        </w:rPr>
        <w:t>衔接资金</w:t>
      </w:r>
      <w:r>
        <w:rPr>
          <w:rFonts w:hint="eastAsia" w:ascii="方正仿宋_GB2312" w:hAnsi="方正仿宋_GB2312" w:eastAsia="方正仿宋_GB2312" w:cs="方正仿宋_GB2312"/>
          <w:sz w:val="32"/>
          <w:szCs w:val="32"/>
          <w:highlight w:val="none"/>
        </w:rPr>
        <w:t>使用，进一步提升脱贫群众致富能力，稳定增加脱贫人口收入和村集体经济收入；培育和壮大特色优势产业，进一步延伸产业链条，激发乡村振兴内生动力；村容村貌明显改观，农村生态环境质量显著提升。</w:t>
      </w:r>
    </w:p>
    <w:p w14:paraId="51DC0F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eastAsia="zh-CN"/>
        </w:rPr>
        <w:t>二、资金规模</w:t>
      </w:r>
    </w:p>
    <w:p w14:paraId="6962CB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eastAsia="zh-CN"/>
        </w:rPr>
        <w:t>涞源</w:t>
      </w:r>
      <w:r>
        <w:rPr>
          <w:rFonts w:hint="eastAsia" w:ascii="方正仿宋_GB2312" w:hAnsi="方正仿宋_GB2312" w:eastAsia="方正仿宋_GB2312" w:cs="方正仿宋_GB2312"/>
          <w:sz w:val="32"/>
          <w:szCs w:val="32"/>
          <w:highlight w:val="none"/>
        </w:rPr>
        <w:t>县202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结合</w:t>
      </w:r>
      <w:r>
        <w:rPr>
          <w:rFonts w:hint="eastAsia" w:ascii="方正仿宋_GB2312" w:hAnsi="方正仿宋_GB2312" w:eastAsia="方正仿宋_GB2312" w:cs="方正仿宋_GB2312"/>
          <w:sz w:val="32"/>
          <w:szCs w:val="32"/>
          <w:highlight w:val="none"/>
        </w:rPr>
        <w:t>巩固拓展脱贫攻坚成果与乡村振兴实际，</w:t>
      </w:r>
      <w:r>
        <w:rPr>
          <w:rFonts w:hint="eastAsia" w:ascii="方正仿宋_GB2312" w:hAnsi="方正仿宋_GB2312" w:eastAsia="方正仿宋_GB2312" w:cs="方正仿宋_GB2312"/>
          <w:sz w:val="32"/>
          <w:szCs w:val="32"/>
          <w:highlight w:val="none"/>
          <w:lang w:val="en-US" w:eastAsia="zh-CN"/>
        </w:rPr>
        <w:t>共</w:t>
      </w:r>
      <w:r>
        <w:rPr>
          <w:rFonts w:hint="eastAsia" w:ascii="方正仿宋_GB2312" w:hAnsi="方正仿宋_GB2312" w:eastAsia="方正仿宋_GB2312" w:cs="方正仿宋_GB2312"/>
          <w:sz w:val="32"/>
          <w:szCs w:val="32"/>
          <w:highlight w:val="none"/>
          <w:lang w:eastAsia="zh-CN"/>
        </w:rPr>
        <w:t>安排财政衔接资金</w:t>
      </w:r>
      <w:r>
        <w:rPr>
          <w:rFonts w:hint="eastAsia" w:ascii="方正仿宋_GB2312" w:hAnsi="方正仿宋_GB2312" w:eastAsia="方正仿宋_GB2312" w:cs="方正仿宋_GB2312"/>
          <w:sz w:val="32"/>
          <w:szCs w:val="32"/>
          <w:highlight w:val="none"/>
          <w:lang w:val="en-US" w:eastAsia="zh-CN"/>
        </w:rPr>
        <w:t>33713</w:t>
      </w:r>
      <w:r>
        <w:rPr>
          <w:rFonts w:hint="eastAsia" w:ascii="方正仿宋_GB2312" w:hAnsi="方正仿宋_GB2312" w:eastAsia="方正仿宋_GB2312" w:cs="方正仿宋_GB2312"/>
          <w:sz w:val="32"/>
          <w:szCs w:val="32"/>
          <w:highlight w:val="none"/>
        </w:rPr>
        <w:t>万元，具体情况为：</w:t>
      </w:r>
    </w:p>
    <w:p w14:paraId="219630E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（一）中央</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7F42CD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中央财政衔接资金</w:t>
      </w:r>
      <w:r>
        <w:rPr>
          <w:rFonts w:hint="eastAsia" w:ascii="方正仿宋_GB2312" w:hAnsi="方正仿宋_GB2312" w:eastAsia="方正仿宋_GB2312" w:cs="方正仿宋_GB2312"/>
          <w:sz w:val="32"/>
          <w:szCs w:val="32"/>
          <w:highlight w:val="none"/>
          <w:lang w:val="en-US" w:eastAsia="zh-CN"/>
        </w:rPr>
        <w:t>10497</w:t>
      </w:r>
      <w:r>
        <w:rPr>
          <w:rFonts w:hint="eastAsia" w:ascii="方正仿宋_GB2312" w:hAnsi="方正仿宋_GB2312" w:eastAsia="方正仿宋_GB2312" w:cs="方正仿宋_GB2312"/>
          <w:sz w:val="32"/>
          <w:szCs w:val="32"/>
          <w:highlight w:val="none"/>
        </w:rPr>
        <w:t>万元，</w:t>
      </w:r>
      <w:r>
        <w:rPr>
          <w:rFonts w:hint="eastAsia" w:ascii="方正仿宋_GB2312" w:hAnsi="方正仿宋_GB2312" w:eastAsia="方正仿宋_GB2312" w:cs="方正仿宋_GB2312"/>
          <w:sz w:val="32"/>
          <w:szCs w:val="32"/>
          <w:highlight w:val="none"/>
          <w:lang w:eastAsia="zh-CN"/>
        </w:rPr>
        <w:t>中央财政衔接资金安排项目</w:t>
      </w:r>
      <w:r>
        <w:rPr>
          <w:rFonts w:hint="eastAsia" w:ascii="方正仿宋_GB2312" w:hAnsi="方正仿宋_GB2312" w:eastAsia="方正仿宋_GB2312" w:cs="方正仿宋_GB2312"/>
          <w:sz w:val="32"/>
          <w:szCs w:val="32"/>
          <w:highlight w:val="none"/>
          <w:lang w:val="en-US" w:eastAsia="zh-CN"/>
        </w:rPr>
        <w:t>40个，其中产业发展项目23个，安排资金9868.727189万元；基础设施项目6个，安排资金523.302811万元；项目管理费项目1个，安排资金104.97万元。</w:t>
      </w:r>
    </w:p>
    <w:p w14:paraId="1E43714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（二）省级</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444C29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省级财政衔接资金</w:t>
      </w:r>
      <w:r>
        <w:rPr>
          <w:rFonts w:hint="eastAsia" w:ascii="方正仿宋_GB2312" w:hAnsi="方正仿宋_GB2312" w:eastAsia="方正仿宋_GB2312" w:cs="方正仿宋_GB2312"/>
          <w:sz w:val="32"/>
          <w:szCs w:val="32"/>
          <w:highlight w:val="none"/>
          <w:lang w:val="en-US" w:eastAsia="zh-CN"/>
        </w:rPr>
        <w:t>16077</w:t>
      </w:r>
      <w:r>
        <w:rPr>
          <w:rFonts w:hint="eastAsia" w:ascii="方正仿宋_GB2312" w:hAnsi="方正仿宋_GB2312" w:eastAsia="方正仿宋_GB2312" w:cs="方正仿宋_GB2312"/>
          <w:sz w:val="32"/>
          <w:szCs w:val="32"/>
          <w:highlight w:val="none"/>
        </w:rPr>
        <w:t>万元，省级</w:t>
      </w:r>
      <w:r>
        <w:rPr>
          <w:rFonts w:hint="eastAsia" w:ascii="方正仿宋_GB2312" w:hAnsi="方正仿宋_GB2312" w:eastAsia="方正仿宋_GB2312" w:cs="方正仿宋_GB2312"/>
          <w:sz w:val="32"/>
          <w:szCs w:val="32"/>
          <w:highlight w:val="none"/>
          <w:lang w:eastAsia="zh-CN"/>
        </w:rPr>
        <w:t>财政衔接资金安排项</w:t>
      </w:r>
      <w:r>
        <w:rPr>
          <w:rFonts w:hint="eastAsia" w:ascii="方正仿宋_GB2312" w:hAnsi="方正仿宋_GB2312" w:eastAsia="方正仿宋_GB2312" w:cs="方正仿宋_GB2312"/>
          <w:color w:val="auto"/>
          <w:sz w:val="32"/>
          <w:szCs w:val="32"/>
          <w:highlight w:val="none"/>
          <w:lang w:eastAsia="zh-CN"/>
        </w:rPr>
        <w:t>目</w:t>
      </w:r>
      <w:r>
        <w:rPr>
          <w:rFonts w:hint="eastAsia" w:ascii="方正仿宋_GB2312" w:hAnsi="方正仿宋_GB2312" w:eastAsia="方正仿宋_GB2312" w:cs="方正仿宋_GB2312"/>
          <w:color w:val="auto"/>
          <w:sz w:val="32"/>
          <w:szCs w:val="32"/>
          <w:highlight w:val="none"/>
          <w:lang w:val="en-US" w:eastAsia="zh-CN"/>
        </w:rPr>
        <w:t>72</w:t>
      </w:r>
      <w:r>
        <w:rPr>
          <w:rFonts w:hint="eastAsia" w:ascii="方正仿宋_GB2312" w:hAnsi="方正仿宋_GB2312" w:eastAsia="方正仿宋_GB2312" w:cs="方正仿宋_GB2312"/>
          <w:color w:val="auto"/>
          <w:sz w:val="32"/>
          <w:szCs w:val="32"/>
          <w:highlight w:val="none"/>
          <w:lang w:eastAsia="zh-CN"/>
        </w:rPr>
        <w:t>个</w:t>
      </w:r>
      <w:r>
        <w:rPr>
          <w:rFonts w:hint="eastAsia" w:ascii="方正仿宋_GB2312" w:hAnsi="方正仿宋_GB2312" w:eastAsia="方正仿宋_GB2312" w:cs="方正仿宋_GB2312"/>
          <w:sz w:val="32"/>
          <w:szCs w:val="32"/>
          <w:highlight w:val="none"/>
          <w:lang w:eastAsia="zh-CN"/>
        </w:rPr>
        <w:t>，其中产业发展项目</w:t>
      </w:r>
      <w:r>
        <w:rPr>
          <w:rFonts w:hint="eastAsia" w:ascii="方正仿宋_GB2312" w:hAnsi="方正仿宋_GB2312" w:eastAsia="方正仿宋_GB2312" w:cs="方正仿宋_GB2312"/>
          <w:sz w:val="32"/>
          <w:szCs w:val="32"/>
          <w:highlight w:val="none"/>
          <w:lang w:val="en-US" w:eastAsia="zh-CN"/>
        </w:rPr>
        <w:t>52个，安排资金10500.765219万元；基础设施项目16个，安排资金2031.447484万元；就业项目1个，安排资金189.68万元；雨露计划项目1个，安排资金465.15万元；小额贷款贴息项目1个，安排资金109.957297万元；易地搬迁项目1个，安排资金2780万元</w:t>
      </w:r>
      <w:r>
        <w:rPr>
          <w:rFonts w:hint="eastAsia" w:ascii="方正仿宋_GB2312" w:hAnsi="方正仿宋_GB2312" w:eastAsia="方正仿宋_GB2312" w:cs="方正仿宋_GB2312"/>
          <w:sz w:val="32"/>
          <w:szCs w:val="32"/>
          <w:highlight w:val="none"/>
        </w:rPr>
        <w:t>。</w:t>
      </w:r>
    </w:p>
    <w:p w14:paraId="6CD681F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三</w:t>
      </w: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市</w:t>
      </w:r>
      <w:r>
        <w:rPr>
          <w:rFonts w:hint="eastAsia" w:ascii="楷体" w:hAnsi="楷体" w:eastAsia="楷体" w:cs="楷体"/>
          <w:b/>
          <w:bCs/>
          <w:sz w:val="32"/>
          <w:szCs w:val="32"/>
          <w:highlight w:val="none"/>
        </w:rPr>
        <w:t>级</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2DAEB6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市级财政衔接资金</w:t>
      </w:r>
      <w:r>
        <w:rPr>
          <w:rFonts w:hint="eastAsia" w:ascii="方正仿宋_GB2312" w:hAnsi="方正仿宋_GB2312" w:eastAsia="方正仿宋_GB2312" w:cs="方正仿宋_GB2312"/>
          <w:sz w:val="32"/>
          <w:szCs w:val="32"/>
          <w:highlight w:val="none"/>
          <w:lang w:val="en-US" w:eastAsia="zh-CN"/>
        </w:rPr>
        <w:t>876</w:t>
      </w:r>
      <w:r>
        <w:rPr>
          <w:rFonts w:hint="eastAsia" w:ascii="方正仿宋_GB2312" w:hAnsi="方正仿宋_GB2312" w:eastAsia="方正仿宋_GB2312" w:cs="方正仿宋_GB2312"/>
          <w:sz w:val="32"/>
          <w:szCs w:val="32"/>
          <w:highlight w:val="none"/>
        </w:rPr>
        <w:t>万元，</w:t>
      </w:r>
      <w:r>
        <w:rPr>
          <w:rFonts w:hint="eastAsia" w:ascii="方正仿宋_GB2312" w:hAnsi="方正仿宋_GB2312" w:eastAsia="方正仿宋_GB2312" w:cs="方正仿宋_GB2312"/>
          <w:sz w:val="32"/>
          <w:szCs w:val="32"/>
          <w:highlight w:val="none"/>
          <w:lang w:eastAsia="zh-CN"/>
        </w:rPr>
        <w:t>市</w:t>
      </w:r>
      <w:r>
        <w:rPr>
          <w:rFonts w:hint="eastAsia" w:ascii="方正仿宋_GB2312" w:hAnsi="方正仿宋_GB2312" w:eastAsia="方正仿宋_GB2312" w:cs="方正仿宋_GB2312"/>
          <w:sz w:val="32"/>
          <w:szCs w:val="32"/>
          <w:highlight w:val="none"/>
        </w:rPr>
        <w:t>级</w:t>
      </w:r>
      <w:r>
        <w:rPr>
          <w:rFonts w:hint="eastAsia" w:ascii="方正仿宋_GB2312" w:hAnsi="方正仿宋_GB2312" w:eastAsia="方正仿宋_GB2312" w:cs="方正仿宋_GB2312"/>
          <w:sz w:val="32"/>
          <w:szCs w:val="32"/>
          <w:highlight w:val="none"/>
          <w:lang w:eastAsia="zh-CN"/>
        </w:rPr>
        <w:t>财政衔接资金安排项目</w:t>
      </w:r>
      <w:r>
        <w:rPr>
          <w:rFonts w:hint="eastAsia" w:ascii="方正仿宋_GB2312" w:hAnsi="方正仿宋_GB2312" w:eastAsia="方正仿宋_GB2312" w:cs="方正仿宋_GB2312"/>
          <w:sz w:val="32"/>
          <w:szCs w:val="32"/>
          <w:highlight w:val="none"/>
          <w:lang w:val="en-US" w:eastAsia="zh-CN"/>
        </w:rPr>
        <w:t>4</w:t>
      </w:r>
      <w:r>
        <w:rPr>
          <w:rFonts w:hint="eastAsia" w:ascii="方正仿宋_GB2312" w:hAnsi="方正仿宋_GB2312" w:eastAsia="方正仿宋_GB2312" w:cs="方正仿宋_GB2312"/>
          <w:sz w:val="32"/>
          <w:szCs w:val="32"/>
          <w:highlight w:val="none"/>
          <w:lang w:eastAsia="zh-CN"/>
        </w:rPr>
        <w:t>个，其中产业发展项目</w:t>
      </w:r>
      <w:r>
        <w:rPr>
          <w:rFonts w:hint="eastAsia" w:ascii="方正仿宋_GB2312" w:hAnsi="方正仿宋_GB2312" w:eastAsia="方正仿宋_GB2312" w:cs="方正仿宋_GB2312"/>
          <w:sz w:val="32"/>
          <w:szCs w:val="32"/>
          <w:highlight w:val="none"/>
          <w:lang w:val="en-US" w:eastAsia="zh-CN"/>
        </w:rPr>
        <w:t>3个，安排资金756万元；安排市级工作队经费项目1个，安排资金120万元</w:t>
      </w:r>
      <w:r>
        <w:rPr>
          <w:rFonts w:hint="eastAsia" w:ascii="方正仿宋_GB2312" w:hAnsi="方正仿宋_GB2312" w:eastAsia="方正仿宋_GB2312" w:cs="方正仿宋_GB2312"/>
          <w:sz w:val="32"/>
          <w:szCs w:val="32"/>
          <w:highlight w:val="none"/>
        </w:rPr>
        <w:t>。</w:t>
      </w:r>
    </w:p>
    <w:p w14:paraId="5E94EFA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四</w:t>
      </w:r>
      <w:r>
        <w:rPr>
          <w:rFonts w:hint="eastAsia" w:ascii="楷体" w:hAnsi="楷体" w:eastAsia="楷体" w:cs="楷体"/>
          <w:b/>
          <w:bCs/>
          <w:sz w:val="32"/>
          <w:szCs w:val="32"/>
          <w:highlight w:val="none"/>
        </w:rPr>
        <w:t>）县级</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0BD81C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年县级财政衔接</w:t>
      </w:r>
      <w:r>
        <w:rPr>
          <w:rFonts w:hint="eastAsia" w:ascii="方正仿宋_GB2312" w:hAnsi="方正仿宋_GB2312" w:eastAsia="方正仿宋_GB2312" w:cs="方正仿宋_GB2312"/>
          <w:sz w:val="32"/>
          <w:szCs w:val="32"/>
          <w:highlight w:val="none"/>
          <w:lang w:eastAsia="zh-CN"/>
        </w:rPr>
        <w:t>资金</w:t>
      </w:r>
      <w:r>
        <w:rPr>
          <w:rFonts w:hint="eastAsia" w:ascii="方正仿宋_GB2312" w:hAnsi="方正仿宋_GB2312" w:eastAsia="方正仿宋_GB2312" w:cs="方正仿宋_GB2312"/>
          <w:sz w:val="32"/>
          <w:szCs w:val="32"/>
          <w:highlight w:val="none"/>
          <w:lang w:val="en-US" w:eastAsia="zh-CN"/>
        </w:rPr>
        <w:t>6263</w:t>
      </w:r>
      <w:r>
        <w:rPr>
          <w:rFonts w:hint="eastAsia" w:ascii="方正仿宋_GB2312" w:hAnsi="方正仿宋_GB2312" w:eastAsia="方正仿宋_GB2312" w:cs="方正仿宋_GB2312"/>
          <w:sz w:val="32"/>
          <w:szCs w:val="32"/>
          <w:highlight w:val="none"/>
        </w:rPr>
        <w:t>万元。</w:t>
      </w:r>
      <w:r>
        <w:rPr>
          <w:rFonts w:hint="eastAsia" w:ascii="方正仿宋_GB2312" w:hAnsi="方正仿宋_GB2312" w:eastAsia="方正仿宋_GB2312" w:cs="方正仿宋_GB2312"/>
          <w:sz w:val="32"/>
          <w:szCs w:val="32"/>
          <w:highlight w:val="none"/>
          <w:lang w:eastAsia="zh-CN"/>
        </w:rPr>
        <w:t>县级财政衔接资金安排项目</w:t>
      </w:r>
      <w:r>
        <w:rPr>
          <w:rFonts w:hint="eastAsia" w:ascii="方正仿宋_GB2312" w:hAnsi="方正仿宋_GB2312" w:eastAsia="方正仿宋_GB2312" w:cs="方正仿宋_GB2312"/>
          <w:sz w:val="32"/>
          <w:szCs w:val="32"/>
          <w:highlight w:val="none"/>
          <w:lang w:val="en-US" w:eastAsia="zh-CN"/>
        </w:rPr>
        <w:t>28个，其中产业发展项目17个，安排资金1930.125243万元；基础设施项目8个，安排资金1753.06334万元；项目管理费项目1个，安排资金1122.111417万元；就业项目1个，安排资金481.7万元；县级工作队经费项目1个，安排资金976万元。</w:t>
      </w:r>
    </w:p>
    <w:p w14:paraId="50F514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三、建设任务</w:t>
      </w:r>
    </w:p>
    <w:p w14:paraId="6853CCB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（一）产业</w:t>
      </w:r>
      <w:r>
        <w:rPr>
          <w:rFonts w:hint="eastAsia" w:ascii="楷体" w:hAnsi="楷体" w:eastAsia="楷体" w:cs="楷体"/>
          <w:b/>
          <w:bCs/>
          <w:sz w:val="32"/>
          <w:szCs w:val="32"/>
          <w:highlight w:val="none"/>
          <w:lang w:eastAsia="zh-CN"/>
        </w:rPr>
        <w:t>发展</w:t>
      </w:r>
      <w:r>
        <w:rPr>
          <w:rFonts w:hint="eastAsia" w:ascii="楷体" w:hAnsi="楷体" w:eastAsia="楷体" w:cs="楷体"/>
          <w:b/>
          <w:bCs/>
          <w:sz w:val="32"/>
          <w:szCs w:val="32"/>
          <w:highlight w:val="none"/>
        </w:rPr>
        <w:t>项目</w:t>
      </w:r>
    </w:p>
    <w:p w14:paraId="598B36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安排玖兴养鸡放养基地取暖设施改造提升项目（扯拽沟、小西庄）、玖兴养鸡放养基地取暖设施改造提升项目（柳树沟、雅雀楼、赵家井）、养殖场配套电力设施提升项目、张家庄养猪场修复项目、玖兴养鸡中庄西沟基地配套蓄水池项目、北王家湾养鸡场入场路及排洪项目、柳树沟鸡场护坡修复项目、松树坨村农田水渠灾后修复项目（二期）、玖兴养鸡中庄基地线路新建项目、银坊养鸡场护坡建设项目、玖兴肉鸡养殖片区粪污发酵处理项目修复项目、涞源县核心菌包厂上料搅拌系统、灭菌架等设备采购项目、涞源县核心菌包厂黑木耳原料预湿料场建设项目、涞源县食用菌种植大棚改造提升项目、涞源县直隶黑猪养殖基地建设项目动物防疫隔离养殖点及配套设备工程、涞源县上庄乡上庄村养猪场配套建设项目、双坨村、胡家庄村养猪场修复项目、南马庄新建机井项目、养鸡场建设项目、涞源县上庄乡中庄村能繁母猪基地配套项目、涞源县走马驿镇北城子村黑木耳大棚改造提升项目、涞源县北石佛镇刘家嘴村黑木耳大棚改造提升项目、涞源县东团堡乡菌包厂养菌室修复项目、涞源县涞源镇扯拽沟村养鸡场新建机井项目、涞源县东团堡乡北辛庄村养猪场新建机井项目、集中联建养鸡场污水处理改造提升项目、涞源县走马驿镇东走马驿村苹果园配套建设项目、涞源县水堡镇塔儿村食用菌种植项目、</w:t>
      </w:r>
    </w:p>
    <w:p w14:paraId="43BE4DD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涞源县南屯镇宋家庄村养鸡场防护项目、涞源县走马驿镇高家台村苹果园配套项目、南屯镇南屯村杨雀湖辣椒种植项目产业配套工程、涞源县金家井乡北黄土岭产业路建设项目、预制菜加工项目、冷库建设项目、玖兴肉鸡养殖片区粪污发酵处理项目、涞源县核心菌包厂灭菌柜、自动装袋机等设备采购项目、"核心菌包厂附属设备购置项目"、中庄村农业产业园柔性温室项目、玖兴养鸡王家湾基地养鸡场建设项目、玖兴养鸡中庄西沟基地养鸡场建设项目、楼房养猪消杀车间建设项目、东刘家庄村鸡场灾后修复项目、赵家井村养鸡场、松树坨村农田水渠灾后修复项目、中庄西沟导洪沟工程、2022年涞源县直隶黑猪养殖基地建设项目、</w:t>
      </w:r>
    </w:p>
    <w:p w14:paraId="41DC4B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玖兴养鸡中庄基地设备安装项目、柳沟鸡舍建设、粮食加工项目、</w:t>
      </w:r>
    </w:p>
    <w:p w14:paraId="17807DF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上庄乡旅游民宿建设项目、金家井乡旅游民宿建设项目、留家庄乡旅游民宿建设项目、乌龙沟乡旅游民宿建设项目、北赵庄村制冷机组设备项目、白石山村蔬菜大棚建设项目、白石山村蔬菜大棚建设项目（二期）、涞源县中庄村农业产业园项目配水工程、</w:t>
      </w:r>
    </w:p>
    <w:p w14:paraId="27D20CE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南屯村阳雀湖辣椒种植项目、万子沟村中药材种植项目、冀家会村农机设备采购项目、焦树庄村制冷机组设备项目、金家井乡玖兴养鸡示范区鸡舍保温项目、支持肉牛纾困解难项目、涞源县银坊镇银坊村养鸡场灾后修复项目、涞源县涞源镇张家村电商项目、</w:t>
      </w:r>
    </w:p>
    <w:p w14:paraId="7310B84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涞源县金家井乡王家井养鸡场灾后修复项目、涞源县白石山镇白石山村蔬菜大棚项目、资产收益项目、走马驿镇高家台村灾后鸡舍道路修复项目、南马庄乡小关城村灾后鸡舍修复项目69个，资金23055.617651万元。</w:t>
      </w:r>
      <w:r>
        <w:rPr>
          <w:rFonts w:hint="eastAsia" w:ascii="方正仿宋_GB2312" w:hAnsi="方正仿宋_GB2312" w:eastAsia="方正仿宋_GB2312" w:cs="方正仿宋_GB2312"/>
          <w:sz w:val="32"/>
          <w:szCs w:val="32"/>
          <w:highlight w:val="none"/>
        </w:rPr>
        <w:t>产业及配套项目产权归项目村集体，依托</w:t>
      </w:r>
      <w:r>
        <w:rPr>
          <w:rFonts w:hint="eastAsia" w:ascii="方正仿宋_GB2312" w:hAnsi="方正仿宋_GB2312" w:eastAsia="方正仿宋_GB2312" w:cs="方正仿宋_GB2312"/>
          <w:sz w:val="32"/>
          <w:szCs w:val="32"/>
          <w:highlight w:val="none"/>
          <w:lang w:eastAsia="zh-CN"/>
        </w:rPr>
        <w:t>种</w:t>
      </w:r>
      <w:r>
        <w:rPr>
          <w:rFonts w:hint="eastAsia" w:ascii="方正仿宋_GB2312" w:hAnsi="方正仿宋_GB2312" w:eastAsia="方正仿宋_GB2312" w:cs="方正仿宋_GB2312"/>
          <w:sz w:val="32"/>
          <w:szCs w:val="32"/>
          <w:highlight w:val="none"/>
        </w:rPr>
        <w:t>养效益覆盖脱贫户</w:t>
      </w:r>
      <w:r>
        <w:rPr>
          <w:rFonts w:hint="eastAsia" w:ascii="方正仿宋_GB2312" w:hAnsi="方正仿宋_GB2312" w:eastAsia="方正仿宋_GB2312" w:cs="方正仿宋_GB2312"/>
          <w:sz w:val="32"/>
          <w:szCs w:val="32"/>
          <w:highlight w:val="none"/>
          <w:lang w:val="en-US" w:eastAsia="zh-CN"/>
        </w:rPr>
        <w:t>18838</w:t>
      </w:r>
      <w:r>
        <w:rPr>
          <w:rFonts w:hint="eastAsia" w:ascii="方正仿宋_GB2312" w:hAnsi="方正仿宋_GB2312" w:eastAsia="方正仿宋_GB2312" w:cs="方正仿宋_GB2312"/>
          <w:sz w:val="32"/>
          <w:szCs w:val="32"/>
          <w:highlight w:val="none"/>
        </w:rPr>
        <w:t>户，</w:t>
      </w:r>
      <w:r>
        <w:rPr>
          <w:rFonts w:hint="eastAsia" w:ascii="方正仿宋_GB2312" w:hAnsi="方正仿宋_GB2312" w:eastAsia="方正仿宋_GB2312" w:cs="方正仿宋_GB2312"/>
          <w:sz w:val="32"/>
          <w:szCs w:val="32"/>
          <w:highlight w:val="none"/>
          <w:lang w:val="en-US" w:eastAsia="zh-CN"/>
        </w:rPr>
        <w:t>41635</w:t>
      </w:r>
      <w:r>
        <w:rPr>
          <w:rFonts w:hint="eastAsia" w:ascii="方正仿宋_GB2312" w:hAnsi="方正仿宋_GB2312" w:eastAsia="方正仿宋_GB2312" w:cs="方正仿宋_GB2312"/>
          <w:sz w:val="32"/>
          <w:szCs w:val="32"/>
          <w:highlight w:val="none"/>
        </w:rPr>
        <w:t>人。</w:t>
      </w:r>
    </w:p>
    <w:p w14:paraId="44CF60F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（二）农村基础设施项目</w:t>
      </w:r>
    </w:p>
    <w:p w14:paraId="1531FD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安排涞源县2025年基础设施提升项目、北牛栏养牛场防洪项目、南屯镇金家庄村村内街道硬化、西走马驿村道路硬化项目、</w:t>
      </w:r>
    </w:p>
    <w:p w14:paraId="59C9920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殷家堡村街道硬化项目、南赵庄村，杨家庄镇高家庄村路灯安装项目、涞源镇北韩村、辛庄村村内街道修复工程、涞源县乌龙沟乡柱角石村基础设施建设、涞源县王安镇银山口村街道硬化项目、</w:t>
      </w:r>
    </w:p>
    <w:p w14:paraId="64C3A2E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涞源县走马驿镇东走马驿村街道硬化及路灯安装项目、涞源县银坊镇黄土岭村路面硬化及路灯安装项目、涞源县白石山镇石窝村道路硬化项目、涞源县上庄乡上庄村街道硬化及路灯安装项目、</w:t>
      </w:r>
    </w:p>
    <w:p w14:paraId="5405760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涞源县塔崖驿乡东杏花村路灯安装项目、2024年涞源县农村基础设施提升项目、涞源县2025年农村饮水安全巩固提升项目、</w:t>
      </w:r>
    </w:p>
    <w:p w14:paraId="78CEB20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涞源县塔崖驿乡2025年农村饮水水毁恢复重建工程、涞源县泉坊镇北屯村桥梁新建项目、涞源县泉坊镇前泉坊村护地坝修复项目、涞源县上庄乡、乌龙沟乡非贫困村交通基础设施提升项目、</w:t>
      </w:r>
    </w:p>
    <w:p w14:paraId="231875D8">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涞源镇、白石山镇、银坊镇非贫困村交通基础设施提升项目、涞源县交通基础设施提升工程（二期）项目、涞源县塔崖驿乡东杏花村2025年道路硬化项目、金家井乡北黄土岭村、北牛栏村基础设施提升项目、泉坊镇甲村饮水管网改造提升项目、民宿建设空气能项目</w:t>
      </w:r>
      <w:r>
        <w:rPr>
          <w:rFonts w:hint="eastAsia" w:ascii="方正仿宋_GB2312" w:hAnsi="方正仿宋_GB2312" w:eastAsia="方正仿宋_GB2312" w:cs="方正仿宋_GB2312"/>
          <w:color w:val="auto"/>
          <w:sz w:val="32"/>
          <w:szCs w:val="32"/>
          <w:highlight w:val="none"/>
          <w:lang w:val="en-US" w:eastAsia="zh-CN"/>
        </w:rPr>
        <w:t>26</w:t>
      </w:r>
      <w:r>
        <w:rPr>
          <w:rFonts w:hint="eastAsia" w:ascii="方正仿宋_GB2312" w:hAnsi="方正仿宋_GB2312" w:eastAsia="方正仿宋_GB2312" w:cs="方正仿宋_GB2312"/>
          <w:sz w:val="32"/>
          <w:szCs w:val="32"/>
          <w:highlight w:val="none"/>
          <w:lang w:val="en-US" w:eastAsia="zh-CN"/>
        </w:rPr>
        <w:t>个，资金4307.813635万元。</w:t>
      </w:r>
    </w:p>
    <w:p w14:paraId="0C2CFDF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三</w:t>
      </w:r>
      <w:r>
        <w:rPr>
          <w:rFonts w:hint="eastAsia" w:ascii="楷体" w:hAnsi="楷体" w:eastAsia="楷体" w:cs="楷体"/>
          <w:b/>
          <w:bCs/>
          <w:sz w:val="32"/>
          <w:szCs w:val="32"/>
          <w:highlight w:val="none"/>
        </w:rPr>
        <w:t>）易地扶贫搬迁</w:t>
      </w:r>
      <w:r>
        <w:rPr>
          <w:rFonts w:hint="eastAsia" w:ascii="楷体" w:hAnsi="楷体" w:eastAsia="楷体" w:cs="楷体"/>
          <w:b/>
          <w:bCs/>
          <w:sz w:val="32"/>
          <w:szCs w:val="32"/>
          <w:highlight w:val="none"/>
          <w:lang w:eastAsia="zh-CN"/>
        </w:rPr>
        <w:t>项目</w:t>
      </w:r>
    </w:p>
    <w:p w14:paraId="62020B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eastAsia="zh-CN"/>
        </w:rPr>
        <w:t>安排偿还易地扶贫搬迁贷款</w:t>
      </w:r>
      <w:r>
        <w:rPr>
          <w:rFonts w:hint="eastAsia" w:ascii="方正仿宋_GB2312" w:hAnsi="方正仿宋_GB2312" w:eastAsia="方正仿宋_GB2312" w:cs="方正仿宋_GB2312"/>
          <w:sz w:val="32"/>
          <w:szCs w:val="32"/>
          <w:highlight w:val="none"/>
          <w:lang w:val="en-US" w:eastAsia="zh-CN"/>
        </w:rPr>
        <w:t>1个，资金2780万元。</w:t>
      </w:r>
    </w:p>
    <w:p w14:paraId="45AC598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（四）</w:t>
      </w:r>
      <w:r>
        <w:rPr>
          <w:rFonts w:hint="eastAsia" w:ascii="楷体" w:hAnsi="楷体" w:eastAsia="楷体" w:cs="楷体"/>
          <w:b/>
          <w:bCs/>
          <w:sz w:val="32"/>
          <w:szCs w:val="32"/>
          <w:highlight w:val="none"/>
        </w:rPr>
        <w:t>雨露计划项目</w:t>
      </w:r>
    </w:p>
    <w:p w14:paraId="147DA4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安排雨露计划项目1个，资金</w:t>
      </w:r>
      <w:r>
        <w:rPr>
          <w:rFonts w:hint="eastAsia" w:ascii="方正仿宋_GB2312" w:hAnsi="方正仿宋_GB2312" w:eastAsia="方正仿宋_GB2312" w:cs="方正仿宋_GB2312"/>
          <w:sz w:val="32"/>
          <w:szCs w:val="32"/>
          <w:highlight w:val="none"/>
          <w:lang w:val="en-US" w:eastAsia="zh-CN"/>
        </w:rPr>
        <w:t>465.15</w:t>
      </w:r>
      <w:r>
        <w:rPr>
          <w:rFonts w:hint="eastAsia" w:ascii="方正仿宋_GB2312" w:hAnsi="方正仿宋_GB2312" w:eastAsia="方正仿宋_GB2312" w:cs="方正仿宋_GB2312"/>
          <w:sz w:val="32"/>
          <w:szCs w:val="32"/>
          <w:highlight w:val="none"/>
        </w:rPr>
        <w:t>万元。分别补助202</w:t>
      </w:r>
      <w:r>
        <w:rPr>
          <w:rFonts w:hint="eastAsia" w:ascii="方正仿宋_GB2312" w:hAnsi="方正仿宋_GB2312" w:eastAsia="方正仿宋_GB2312" w:cs="方正仿宋_GB2312"/>
          <w:sz w:val="32"/>
          <w:szCs w:val="32"/>
          <w:highlight w:val="none"/>
          <w:lang w:val="en-US" w:eastAsia="zh-CN"/>
        </w:rPr>
        <w:t>4</w:t>
      </w:r>
      <w:r>
        <w:rPr>
          <w:rFonts w:hint="eastAsia" w:ascii="方正仿宋_GB2312" w:hAnsi="方正仿宋_GB2312" w:eastAsia="方正仿宋_GB2312" w:cs="方正仿宋_GB2312"/>
          <w:sz w:val="32"/>
          <w:szCs w:val="32"/>
          <w:highlight w:val="none"/>
        </w:rPr>
        <w:t>年秋季，202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年春季建档立卡学生，补助标准1500元/学期。</w:t>
      </w:r>
    </w:p>
    <w:p w14:paraId="1E7FBC7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五</w:t>
      </w:r>
      <w:r>
        <w:rPr>
          <w:rFonts w:hint="eastAsia" w:ascii="楷体" w:hAnsi="楷体" w:eastAsia="楷体" w:cs="楷体"/>
          <w:b/>
          <w:bCs/>
          <w:sz w:val="32"/>
          <w:szCs w:val="32"/>
          <w:highlight w:val="none"/>
        </w:rPr>
        <w:t>）项目管理费</w:t>
      </w:r>
    </w:p>
    <w:p w14:paraId="5C7344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安排项目管理费项目1个，资金</w:t>
      </w:r>
      <w:r>
        <w:rPr>
          <w:rFonts w:hint="eastAsia" w:ascii="方正仿宋_GB2312" w:hAnsi="方正仿宋_GB2312" w:eastAsia="方正仿宋_GB2312" w:cs="方正仿宋_GB2312"/>
          <w:sz w:val="32"/>
          <w:szCs w:val="32"/>
          <w:highlight w:val="none"/>
          <w:lang w:val="en-US" w:eastAsia="zh-CN"/>
        </w:rPr>
        <w:t>1227.081417</w:t>
      </w:r>
      <w:r>
        <w:rPr>
          <w:rFonts w:hint="eastAsia" w:ascii="方正仿宋_GB2312" w:hAnsi="方正仿宋_GB2312" w:eastAsia="方正仿宋_GB2312" w:cs="方正仿宋_GB2312"/>
          <w:sz w:val="32"/>
          <w:szCs w:val="32"/>
          <w:highlight w:val="none"/>
        </w:rPr>
        <w:t>万元。用于项目前期可行性研究报告、初步设计的编制，地形测量，地质勘探、水土保持、水资源论证等支出。用于项目后期结算、验收等服务类支出。</w:t>
      </w:r>
    </w:p>
    <w:p w14:paraId="752945E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eastAsia="zh-CN"/>
        </w:rPr>
      </w:pPr>
      <w:r>
        <w:rPr>
          <w:rFonts w:hint="eastAsia" w:ascii="楷体" w:hAnsi="楷体" w:eastAsia="楷体" w:cs="楷体"/>
          <w:b/>
          <w:bCs/>
          <w:sz w:val="32"/>
          <w:szCs w:val="32"/>
          <w:highlight w:val="none"/>
          <w:lang w:val="en-US" w:eastAsia="zh-CN"/>
        </w:rPr>
        <w:t>（六）就业项目</w:t>
      </w:r>
    </w:p>
    <w:p w14:paraId="617487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eastAsia="zh-CN"/>
        </w:rPr>
        <w:t>安排就业项目</w:t>
      </w:r>
      <w:r>
        <w:rPr>
          <w:rFonts w:hint="eastAsia" w:ascii="方正仿宋_GB2312" w:hAnsi="方正仿宋_GB2312" w:eastAsia="方正仿宋_GB2312" w:cs="方正仿宋_GB2312"/>
          <w:sz w:val="32"/>
          <w:szCs w:val="32"/>
          <w:highlight w:val="none"/>
          <w:lang w:val="en-US" w:eastAsia="zh-CN"/>
        </w:rPr>
        <w:t>1个，资金189.68万元。为在县外务工累计3个月以上的脱贫劳动力发放一次性交通和生活补贴。</w:t>
      </w:r>
    </w:p>
    <w:p w14:paraId="6B106F0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七</w:t>
      </w: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其他</w:t>
      </w:r>
    </w:p>
    <w:p w14:paraId="0C2ED8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eastAsia="zh-CN"/>
        </w:rPr>
        <w:t>安排产业就业奖补项目、小额贷款贴息、市级工作队经费、县级工作队经费项目</w:t>
      </w:r>
      <w:r>
        <w:rPr>
          <w:rFonts w:hint="eastAsia" w:ascii="方正仿宋_GB2312" w:hAnsi="方正仿宋_GB2312" w:eastAsia="方正仿宋_GB2312" w:cs="方正仿宋_GB2312"/>
          <w:sz w:val="32"/>
          <w:szCs w:val="32"/>
          <w:highlight w:val="none"/>
          <w:lang w:val="en-US" w:eastAsia="zh-CN"/>
        </w:rPr>
        <w:t>4个，资金1687.657297万元。</w:t>
      </w:r>
    </w:p>
    <w:p w14:paraId="5DB440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四、项目实施</w:t>
      </w:r>
    </w:p>
    <w:p w14:paraId="14F02F8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（一）项目申报</w:t>
      </w:r>
    </w:p>
    <w:p w14:paraId="13EC4F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lang w:val="en-US" w:eastAsia="zh-CN"/>
        </w:rPr>
        <w:t>1.</w:t>
      </w:r>
      <w:r>
        <w:rPr>
          <w:rFonts w:hint="eastAsia" w:ascii="方正仿宋_GB2312" w:hAnsi="方正仿宋_GB2312" w:eastAsia="方正仿宋_GB2312" w:cs="方正仿宋_GB2312"/>
          <w:sz w:val="32"/>
          <w:szCs w:val="32"/>
          <w:highlight w:val="none"/>
        </w:rPr>
        <w:t>村级申报</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村级申报由村“两委”、驻村工作队或包村干部根据村情实际和群众发展意愿，在广泛收集资金项目需求基础上，提出项目申报清单</w:t>
      </w:r>
      <w:r>
        <w:rPr>
          <w:rFonts w:hint="eastAsia" w:ascii="方正仿宋_GB2312" w:hAnsi="方正仿宋_GB2312" w:eastAsia="方正仿宋_GB2312" w:cs="方正仿宋_GB2312"/>
          <w:sz w:val="32"/>
          <w:szCs w:val="32"/>
          <w:highlight w:val="none"/>
          <w:lang w:eastAsia="zh-CN"/>
        </w:rPr>
        <w:t>并</w:t>
      </w:r>
      <w:r>
        <w:rPr>
          <w:rFonts w:hint="eastAsia" w:ascii="方正仿宋_GB2312" w:hAnsi="方正仿宋_GB2312" w:eastAsia="方正仿宋_GB2312" w:cs="方正仿宋_GB2312"/>
          <w:sz w:val="32"/>
          <w:szCs w:val="32"/>
          <w:highlight w:val="none"/>
        </w:rPr>
        <w:t>组织召开村“两委”会或村民代表大会，对申报的项目进行研究评议，确定申报项目，村内公示无异议后</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由村委会向所在乡（镇）提交拟</w:t>
      </w:r>
      <w:r>
        <w:rPr>
          <w:rFonts w:hint="eastAsia" w:ascii="方正仿宋_GB2312" w:hAnsi="方正仿宋_GB2312" w:eastAsia="方正仿宋_GB2312" w:cs="方正仿宋_GB2312"/>
          <w:sz w:val="32"/>
          <w:szCs w:val="32"/>
          <w:highlight w:val="none"/>
          <w:lang w:eastAsia="zh-CN"/>
        </w:rPr>
        <w:t>申报项目申</w:t>
      </w:r>
      <w:r>
        <w:rPr>
          <w:rFonts w:hint="eastAsia" w:ascii="方正仿宋_GB2312" w:hAnsi="方正仿宋_GB2312" w:eastAsia="方正仿宋_GB2312" w:cs="方正仿宋_GB2312"/>
          <w:sz w:val="32"/>
          <w:szCs w:val="32"/>
          <w:highlight w:val="none"/>
        </w:rPr>
        <w:t>请</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乡（镇）接到村级项目申请后，征求项目所涉及相关县级行业部门意见，组织召开党政联席会议，对村级申报项目和自主谋划项目的合规性、可行性、必要性、科学性以及项目内容、资金来源与概算、绩效目标、联农带农机制等进行审核，形成乡（镇）项目申报清单</w:t>
      </w:r>
      <w:r>
        <w:rPr>
          <w:rFonts w:hint="eastAsia" w:ascii="方正仿宋_GB2312" w:hAnsi="方正仿宋_GB2312" w:eastAsia="方正仿宋_GB2312" w:cs="方正仿宋_GB2312"/>
          <w:sz w:val="32"/>
          <w:szCs w:val="32"/>
          <w:highlight w:val="none"/>
          <w:lang w:eastAsia="zh-CN"/>
        </w:rPr>
        <w:t>。</w:t>
      </w:r>
    </w:p>
    <w:p w14:paraId="43B003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2.主管行业部门申报。主管行业部门根据全县规划和发展实际，提出县域跨乡镇、规模化入库项目申报清单。主管行业部门向项目所涉及乡、村两级及其它有关县级行业部门征求意见。申报项目的行业部门对项目的合规性、可行性、必要性、科学性以及项目内容、资金来源与概算、绩效目标、联农带农机制等进行审核，部门集体研究通过的项目在项目涉及的乡、村等范围内公示无异议后，向县乡村振兴部门提交项目申请。</w:t>
      </w:r>
    </w:p>
    <w:p w14:paraId="6CCB8B7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（二）项目审核。</w:t>
      </w:r>
      <w:r>
        <w:rPr>
          <w:rFonts w:hint="eastAsia" w:ascii="方正仿宋_GB2312" w:hAnsi="方正仿宋_GB2312" w:eastAsia="方正仿宋_GB2312" w:cs="方正仿宋_GB2312"/>
          <w:sz w:val="32"/>
          <w:szCs w:val="32"/>
          <w:highlight w:val="none"/>
        </w:rPr>
        <w:t>县乡村振兴部门对</w:t>
      </w:r>
      <w:r>
        <w:rPr>
          <w:rFonts w:hint="eastAsia" w:ascii="方正仿宋_GB2312" w:hAnsi="方正仿宋_GB2312" w:eastAsia="方正仿宋_GB2312" w:cs="方正仿宋_GB2312"/>
          <w:sz w:val="32"/>
          <w:szCs w:val="32"/>
          <w:highlight w:val="none"/>
          <w:lang w:eastAsia="zh-CN"/>
        </w:rPr>
        <w:t>各乡镇、行业部门</w:t>
      </w:r>
      <w:r>
        <w:rPr>
          <w:rFonts w:hint="eastAsia" w:ascii="方正仿宋_GB2312" w:hAnsi="方正仿宋_GB2312" w:eastAsia="方正仿宋_GB2312" w:cs="方正仿宋_GB2312"/>
          <w:sz w:val="32"/>
          <w:szCs w:val="32"/>
          <w:highlight w:val="none"/>
        </w:rPr>
        <w:t>报送的项目是否属于巩固拓展脱贫攻坚成果和乡村振兴项目，是否符合衔接资金使用方向，是否</w:t>
      </w:r>
      <w:r>
        <w:rPr>
          <w:rFonts w:hint="eastAsia" w:ascii="方正仿宋_GB2312" w:hAnsi="方正仿宋_GB2312" w:eastAsia="方正仿宋_GB2312" w:cs="方正仿宋_GB2312"/>
          <w:sz w:val="32"/>
          <w:szCs w:val="32"/>
          <w:highlight w:val="none"/>
          <w:lang w:eastAsia="zh-CN"/>
        </w:rPr>
        <w:t>建立联农带农机制特别是</w:t>
      </w:r>
      <w:r>
        <w:rPr>
          <w:rFonts w:hint="eastAsia" w:ascii="方正仿宋_GB2312" w:hAnsi="方正仿宋_GB2312" w:eastAsia="方正仿宋_GB2312" w:cs="方正仿宋_GB2312"/>
          <w:sz w:val="32"/>
          <w:szCs w:val="32"/>
          <w:highlight w:val="none"/>
        </w:rPr>
        <w:t>与脱贫人口</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监测对象建立利益联结机制等进行审核，并结合年度巩固拓展脱贫攻坚成果同乡村振兴有效衔接目标任务</w:t>
      </w:r>
      <w:r>
        <w:rPr>
          <w:rFonts w:hint="eastAsia" w:ascii="方正仿宋_GB2312" w:hAnsi="方正仿宋_GB2312" w:eastAsia="方正仿宋_GB2312" w:cs="方正仿宋_GB2312"/>
          <w:sz w:val="32"/>
          <w:szCs w:val="32"/>
          <w:highlight w:val="none"/>
          <w:lang w:eastAsia="zh-CN"/>
        </w:rPr>
        <w:t>进行审核</w:t>
      </w:r>
      <w:r>
        <w:rPr>
          <w:rFonts w:hint="eastAsia" w:ascii="方正仿宋_GB2312" w:hAnsi="方正仿宋_GB2312" w:eastAsia="方正仿宋_GB2312" w:cs="方正仿宋_GB2312"/>
          <w:sz w:val="32"/>
          <w:szCs w:val="32"/>
          <w:highlight w:val="none"/>
        </w:rPr>
        <w:t>，汇总</w:t>
      </w:r>
      <w:r>
        <w:rPr>
          <w:rFonts w:hint="eastAsia" w:ascii="方正仿宋_GB2312" w:hAnsi="方正仿宋_GB2312" w:eastAsia="方正仿宋_GB2312" w:cs="方正仿宋_GB2312"/>
          <w:sz w:val="32"/>
          <w:szCs w:val="32"/>
          <w:highlight w:val="none"/>
          <w:lang w:eastAsia="zh-CN"/>
        </w:rPr>
        <w:t>后</w:t>
      </w:r>
      <w:r>
        <w:rPr>
          <w:rFonts w:hint="eastAsia" w:ascii="方正仿宋_GB2312" w:hAnsi="方正仿宋_GB2312" w:eastAsia="方正仿宋_GB2312" w:cs="方正仿宋_GB2312"/>
          <w:sz w:val="32"/>
          <w:szCs w:val="32"/>
          <w:highlight w:val="none"/>
        </w:rPr>
        <w:t>报县委农村工作领导小组审</w:t>
      </w:r>
      <w:r>
        <w:rPr>
          <w:rFonts w:hint="eastAsia" w:ascii="方正仿宋_GB2312" w:hAnsi="方正仿宋_GB2312" w:eastAsia="方正仿宋_GB2312" w:cs="方正仿宋_GB2312"/>
          <w:sz w:val="32"/>
          <w:szCs w:val="32"/>
          <w:highlight w:val="none"/>
          <w:lang w:eastAsia="zh-CN"/>
        </w:rPr>
        <w:t>定</w:t>
      </w:r>
      <w:r>
        <w:rPr>
          <w:rFonts w:hint="eastAsia" w:ascii="方正仿宋_GB2312" w:hAnsi="方正仿宋_GB2312" w:eastAsia="方正仿宋_GB2312" w:cs="方正仿宋_GB2312"/>
          <w:sz w:val="32"/>
          <w:szCs w:val="32"/>
          <w:highlight w:val="none"/>
        </w:rPr>
        <w:t>。</w:t>
      </w:r>
    </w:p>
    <w:p w14:paraId="4EFD753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（三）项目论证。</w:t>
      </w:r>
      <w:r>
        <w:rPr>
          <w:rFonts w:hint="eastAsia" w:ascii="方正仿宋_GB2312" w:hAnsi="方正仿宋_GB2312" w:eastAsia="方正仿宋_GB2312" w:cs="方正仿宋_GB2312"/>
          <w:sz w:val="32"/>
          <w:szCs w:val="32"/>
          <w:highlight w:val="none"/>
        </w:rPr>
        <w:t>县委农村工作领导小组召开专题会议，</w:t>
      </w:r>
      <w:r>
        <w:rPr>
          <w:rFonts w:hint="eastAsia" w:ascii="方正仿宋_GB2312" w:hAnsi="方正仿宋_GB2312" w:eastAsia="方正仿宋_GB2312" w:cs="方正仿宋_GB2312"/>
          <w:sz w:val="32"/>
          <w:szCs w:val="32"/>
          <w:highlight w:val="none"/>
          <w:lang w:eastAsia="zh-CN"/>
        </w:rPr>
        <w:t>组织相关部门</w:t>
      </w:r>
      <w:r>
        <w:rPr>
          <w:rFonts w:hint="eastAsia" w:ascii="方正仿宋_GB2312" w:hAnsi="方正仿宋_GB2312" w:eastAsia="方正仿宋_GB2312" w:cs="方正仿宋_GB2312"/>
          <w:sz w:val="32"/>
          <w:szCs w:val="32"/>
          <w:highlight w:val="none"/>
        </w:rPr>
        <w:t>对拟入库项目进行研究论证</w:t>
      </w:r>
      <w:r>
        <w:rPr>
          <w:rFonts w:hint="eastAsia" w:ascii="方正仿宋_GB2312" w:hAnsi="方正仿宋_GB2312" w:eastAsia="方正仿宋_GB2312" w:cs="方正仿宋_GB2312"/>
          <w:sz w:val="32"/>
          <w:szCs w:val="32"/>
          <w:highlight w:val="none"/>
          <w:lang w:eastAsia="zh-CN"/>
        </w:rPr>
        <w:t>。</w:t>
      </w:r>
    </w:p>
    <w:p w14:paraId="147A485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（四）项目批复。</w:t>
      </w:r>
      <w:r>
        <w:rPr>
          <w:rFonts w:hint="eastAsia" w:ascii="方正仿宋_GB2312" w:hAnsi="方正仿宋_GB2312" w:eastAsia="方正仿宋_GB2312" w:cs="方正仿宋_GB2312"/>
          <w:sz w:val="32"/>
          <w:szCs w:val="32"/>
          <w:highlight w:val="none"/>
        </w:rPr>
        <w:t>经县委农村工作领导小组审定</w:t>
      </w:r>
      <w:r>
        <w:rPr>
          <w:rFonts w:hint="eastAsia" w:ascii="方正仿宋_GB2312" w:hAnsi="方正仿宋_GB2312" w:eastAsia="方正仿宋_GB2312" w:cs="方正仿宋_GB2312"/>
          <w:sz w:val="32"/>
          <w:szCs w:val="32"/>
          <w:highlight w:val="none"/>
          <w:lang w:eastAsia="zh-CN"/>
        </w:rPr>
        <w:t>通过</w:t>
      </w:r>
      <w:r>
        <w:rPr>
          <w:rFonts w:hint="eastAsia" w:ascii="方正仿宋_GB2312" w:hAnsi="方正仿宋_GB2312" w:eastAsia="方正仿宋_GB2312" w:cs="方正仿宋_GB2312"/>
          <w:sz w:val="32"/>
          <w:szCs w:val="32"/>
          <w:highlight w:val="none"/>
        </w:rPr>
        <w:t>的项目在县级政府门户网站上</w:t>
      </w:r>
      <w:r>
        <w:rPr>
          <w:rFonts w:hint="eastAsia" w:ascii="方正仿宋_GB2312" w:hAnsi="方正仿宋_GB2312" w:eastAsia="方正仿宋_GB2312" w:cs="方正仿宋_GB2312"/>
          <w:sz w:val="32"/>
          <w:szCs w:val="32"/>
          <w:highlight w:val="none"/>
          <w:lang w:eastAsia="zh-CN"/>
        </w:rPr>
        <w:t>进行</w:t>
      </w:r>
      <w:r>
        <w:rPr>
          <w:rFonts w:hint="eastAsia" w:ascii="方正仿宋_GB2312" w:hAnsi="方正仿宋_GB2312" w:eastAsia="方正仿宋_GB2312" w:cs="方正仿宋_GB2312"/>
          <w:sz w:val="32"/>
          <w:szCs w:val="32"/>
          <w:highlight w:val="none"/>
        </w:rPr>
        <w:t>公示，公示无异议后，下达批复意见并在县级政府门户网站上公告</w:t>
      </w:r>
      <w:r>
        <w:rPr>
          <w:rFonts w:hint="eastAsia" w:ascii="方正仿宋_GB2312" w:hAnsi="方正仿宋_GB2312" w:eastAsia="方正仿宋_GB2312" w:cs="方正仿宋_GB2312"/>
          <w:sz w:val="32"/>
          <w:szCs w:val="32"/>
          <w:highlight w:val="none"/>
          <w:lang w:eastAsia="zh-CN"/>
        </w:rPr>
        <w:t>。</w:t>
      </w:r>
    </w:p>
    <w:p w14:paraId="07CB71F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（五）项目实施。</w:t>
      </w:r>
      <w:r>
        <w:rPr>
          <w:rFonts w:hint="eastAsia" w:ascii="方正仿宋_GB2312" w:hAnsi="方正仿宋_GB2312" w:eastAsia="方正仿宋_GB2312" w:cs="方正仿宋_GB2312"/>
          <w:sz w:val="32"/>
          <w:szCs w:val="32"/>
          <w:highlight w:val="none"/>
          <w:lang w:val="en-US" w:eastAsia="zh-CN"/>
        </w:rPr>
        <w:t>项目责任单位组织项目实施，在实施过程中，要严格执行工程项目招投标制或政府采购制、工程监理制、部门报账制、绩效目标管理制等相关制度规定，对工程质量、进度和绩效目标负责。</w:t>
      </w:r>
    </w:p>
    <w:p w14:paraId="0E76448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（六）项目验收。</w:t>
      </w:r>
      <w:r>
        <w:rPr>
          <w:rFonts w:hint="eastAsia" w:ascii="方正仿宋_GB2312" w:hAnsi="方正仿宋_GB2312" w:eastAsia="方正仿宋_GB2312" w:cs="方正仿宋_GB2312"/>
          <w:sz w:val="32"/>
          <w:szCs w:val="32"/>
          <w:highlight w:val="none"/>
        </w:rPr>
        <w:t>项目竣工后，由项目主管部门组织项目验收，重大项目可聘请有资质的第三方验收。</w:t>
      </w:r>
    </w:p>
    <w:p w14:paraId="2E30E69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highlight w:val="none"/>
          <w:lang w:eastAsia="zh-CN"/>
        </w:rPr>
      </w:pPr>
      <w:r>
        <w:rPr>
          <w:rFonts w:hint="eastAsia" w:ascii="楷体" w:hAnsi="楷体" w:eastAsia="楷体" w:cs="楷体"/>
          <w:b/>
          <w:bCs/>
          <w:sz w:val="32"/>
          <w:szCs w:val="32"/>
          <w:highlight w:val="none"/>
        </w:rPr>
        <w:t>（七）资金拨付。</w:t>
      </w:r>
      <w:r>
        <w:rPr>
          <w:rFonts w:hint="eastAsia" w:ascii="方正仿宋_GB2312" w:hAnsi="方正仿宋_GB2312" w:eastAsia="方正仿宋_GB2312" w:cs="方正仿宋_GB2312"/>
          <w:sz w:val="32"/>
          <w:szCs w:val="32"/>
          <w:highlight w:val="none"/>
        </w:rPr>
        <w:t>资金拨付由项目主管部门按照工程进度及验收情况报县财政部门，财政部门授权支付到项目主管部门和乡镇，项目主管部门对项目的资料完整性负责。</w:t>
      </w:r>
    </w:p>
    <w:p w14:paraId="21FAAC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五、组织保障</w:t>
      </w:r>
    </w:p>
    <w:p w14:paraId="3221ECE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（一）加强组织领导。</w:t>
      </w:r>
      <w:r>
        <w:rPr>
          <w:rFonts w:hint="eastAsia" w:ascii="方正仿宋_GB2312" w:hAnsi="方正仿宋_GB2312" w:eastAsia="方正仿宋_GB2312" w:cs="方正仿宋_GB2312"/>
          <w:sz w:val="32"/>
          <w:szCs w:val="32"/>
          <w:highlight w:val="none"/>
          <w:lang w:val="en-US" w:eastAsia="zh-CN"/>
        </w:rPr>
        <w:t>县巩固巩固拓展脱贫攻坚成果领导小组、县委农村工作领导小组，切实加强小组职能，统筹协调各部门，及时研究处理衔接资金具体操作层面遇到的问题，确保各项措施落实到位。</w:t>
      </w:r>
    </w:p>
    <w:p w14:paraId="186897F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（二）严格程序，规范运行。</w:t>
      </w:r>
      <w:r>
        <w:rPr>
          <w:rFonts w:hint="eastAsia" w:ascii="方正仿宋_GB2312" w:hAnsi="方正仿宋_GB2312" w:eastAsia="方正仿宋_GB2312" w:cs="方正仿宋_GB2312"/>
          <w:sz w:val="32"/>
          <w:szCs w:val="32"/>
          <w:highlight w:val="none"/>
          <w:lang w:val="en-US" w:eastAsia="zh-CN"/>
        </w:rPr>
        <w:t>在财政衔接资金使用工作中，严格按照项目申报、审批程序推进项目建设，对不按规定程序履行报批手续或擅自调整变更项目实施计划的单位，追究相关人员责任。项目实施过程中或完工后，项目单位完善相关项目资料，自觉接受相关部门监督检查。</w:t>
      </w:r>
    </w:p>
    <w:p w14:paraId="596E856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（三）信息公开，加强监管。</w:t>
      </w:r>
      <w:r>
        <w:rPr>
          <w:rFonts w:hint="eastAsia" w:ascii="方正仿宋_GB2312" w:hAnsi="方正仿宋_GB2312" w:eastAsia="方正仿宋_GB2312" w:cs="方正仿宋_GB2312"/>
          <w:sz w:val="32"/>
          <w:szCs w:val="32"/>
          <w:highlight w:val="none"/>
        </w:rPr>
        <w:t>项目主管部门、项目实施单位分别在项目申报、项目批复、项目实施、项目验收等环节通过县政府门户网站、乡镇政府政务公开栏、村务公开栏等平台将项目相关情况及时公开公示，接受社会各界监督。县审计、乡村振兴和农业、财政等部门按照各自职责对项目实施、资金管理进行审计、检查，对发现的问题及时向县政府汇报，并责成项目实施单位限期整改。</w:t>
      </w:r>
    </w:p>
    <w:p w14:paraId="5BEB276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（四）完善绩效考评。</w:t>
      </w:r>
      <w:r>
        <w:rPr>
          <w:rFonts w:hint="eastAsia" w:ascii="方正仿宋_GB2312" w:hAnsi="方正仿宋_GB2312" w:eastAsia="方正仿宋_GB2312" w:cs="方正仿宋_GB2312"/>
          <w:sz w:val="32"/>
          <w:szCs w:val="32"/>
          <w:highlight w:val="none"/>
          <w:lang w:val="en-US" w:eastAsia="zh-CN"/>
        </w:rPr>
        <w:t>进一步完善衔接资金的绩效考评制度。县财政局牵头负责对实施项目开展绩效评价，组织相关部门做好自评，撰写自评报告。县财政局可采取委托第三方评价方式开展重点评价，独立出具绩效评价报告，经财政局各相关绩效评价责任股室验收后提交。</w:t>
      </w:r>
    </w:p>
    <w:p w14:paraId="1087C1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附件：涞源县202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年度</w:t>
      </w:r>
      <w:r>
        <w:rPr>
          <w:rFonts w:hint="eastAsia" w:ascii="方正仿宋_GB2312" w:hAnsi="方正仿宋_GB2312" w:eastAsia="方正仿宋_GB2312" w:cs="方正仿宋_GB2312"/>
          <w:sz w:val="32"/>
          <w:szCs w:val="32"/>
          <w:highlight w:val="none"/>
          <w:lang w:eastAsia="zh-CN"/>
        </w:rPr>
        <w:t>调整</w:t>
      </w:r>
      <w:r>
        <w:rPr>
          <w:rFonts w:hint="eastAsia" w:ascii="方正仿宋_GB2312" w:hAnsi="方正仿宋_GB2312" w:eastAsia="方正仿宋_GB2312" w:cs="方正仿宋_GB2312"/>
          <w:sz w:val="32"/>
          <w:szCs w:val="32"/>
          <w:highlight w:val="none"/>
        </w:rPr>
        <w:t>财政衔接资金项目计划</w:t>
      </w:r>
    </w:p>
    <w:p w14:paraId="28081B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p>
    <w:p w14:paraId="3BAC1539">
      <w:pPr>
        <w:keepNext w:val="0"/>
        <w:keepLines w:val="0"/>
        <w:pageBreakBefore w:val="0"/>
        <w:widowControl w:val="0"/>
        <w:kinsoku/>
        <w:wordWrap/>
        <w:overflowPunct/>
        <w:topLinePunct w:val="0"/>
        <w:autoSpaceDE/>
        <w:autoSpaceDN/>
        <w:bidi w:val="0"/>
        <w:adjustRightInd/>
        <w:snapToGrid/>
        <w:spacing w:line="560" w:lineRule="exact"/>
        <w:textAlignment w:val="auto"/>
        <w:rPr>
          <w:rFonts w:ascii="楷体_GB2312" w:hAnsi="仿宋_GB2312" w:eastAsia="楷体_GB2312" w:cs="仿宋_GB2312"/>
          <w:color w:val="auto"/>
          <w:kern w:val="0"/>
          <w:sz w:val="28"/>
          <w:szCs w:val="28"/>
          <w:highlight w:val="none"/>
          <w:u w:val="single"/>
        </w:rPr>
      </w:pPr>
    </w:p>
    <w:p w14:paraId="125FD621">
      <w:pPr>
        <w:pStyle w:val="2"/>
        <w:rPr>
          <w:rFonts w:ascii="楷体_GB2312" w:hAnsi="仿宋_GB2312" w:eastAsia="楷体_GB2312" w:cs="仿宋_GB2312"/>
          <w:color w:val="auto"/>
          <w:kern w:val="0"/>
          <w:sz w:val="28"/>
          <w:szCs w:val="28"/>
          <w:highlight w:val="none"/>
          <w:u w:val="single"/>
        </w:rPr>
      </w:pPr>
    </w:p>
    <w:p w14:paraId="142FE2CE">
      <w:pPr>
        <w:pStyle w:val="3"/>
        <w:rPr>
          <w:rFonts w:ascii="楷体_GB2312" w:hAnsi="仿宋_GB2312" w:eastAsia="楷体_GB2312" w:cs="仿宋_GB2312"/>
          <w:color w:val="auto"/>
          <w:kern w:val="0"/>
          <w:sz w:val="28"/>
          <w:szCs w:val="28"/>
          <w:highlight w:val="none"/>
          <w:u w:val="single"/>
        </w:rPr>
      </w:pPr>
    </w:p>
    <w:p w14:paraId="69E4AB69">
      <w:pPr>
        <w:rPr>
          <w:rFonts w:ascii="楷体_GB2312" w:hAnsi="仿宋_GB2312" w:eastAsia="楷体_GB2312" w:cs="仿宋_GB2312"/>
          <w:color w:val="auto"/>
          <w:kern w:val="0"/>
          <w:sz w:val="28"/>
          <w:szCs w:val="28"/>
          <w:highlight w:val="none"/>
          <w:u w:val="single"/>
        </w:rPr>
      </w:pPr>
    </w:p>
    <w:p w14:paraId="713DD647">
      <w:pPr>
        <w:pStyle w:val="2"/>
        <w:rPr>
          <w:rFonts w:ascii="楷体_GB2312" w:hAnsi="仿宋_GB2312" w:eastAsia="楷体_GB2312" w:cs="仿宋_GB2312"/>
          <w:color w:val="auto"/>
          <w:kern w:val="0"/>
          <w:sz w:val="28"/>
          <w:szCs w:val="28"/>
          <w:highlight w:val="none"/>
          <w:u w:val="single"/>
        </w:rPr>
      </w:pPr>
    </w:p>
    <w:p w14:paraId="2EC59952">
      <w:pPr>
        <w:pStyle w:val="3"/>
        <w:rPr>
          <w:rFonts w:ascii="楷体_GB2312" w:hAnsi="仿宋_GB2312" w:eastAsia="楷体_GB2312" w:cs="仿宋_GB2312"/>
          <w:color w:val="auto"/>
          <w:kern w:val="0"/>
          <w:sz w:val="28"/>
          <w:szCs w:val="28"/>
          <w:highlight w:val="none"/>
          <w:u w:val="single"/>
        </w:rPr>
      </w:pPr>
    </w:p>
    <w:p w14:paraId="3246B710">
      <w:pPr>
        <w:rPr>
          <w:rFonts w:ascii="楷体_GB2312" w:hAnsi="仿宋_GB2312" w:eastAsia="楷体_GB2312" w:cs="仿宋_GB2312"/>
          <w:color w:val="auto"/>
          <w:kern w:val="0"/>
          <w:sz w:val="28"/>
          <w:szCs w:val="28"/>
          <w:highlight w:val="none"/>
          <w:u w:val="single"/>
        </w:rPr>
      </w:pPr>
    </w:p>
    <w:p w14:paraId="6B0A79CE">
      <w:pPr>
        <w:pStyle w:val="2"/>
        <w:rPr>
          <w:rFonts w:ascii="楷体_GB2312" w:hAnsi="仿宋_GB2312" w:eastAsia="楷体_GB2312" w:cs="仿宋_GB2312"/>
          <w:color w:val="auto"/>
          <w:kern w:val="0"/>
          <w:sz w:val="28"/>
          <w:szCs w:val="28"/>
          <w:highlight w:val="none"/>
          <w:u w:val="single"/>
        </w:rPr>
      </w:pPr>
    </w:p>
    <w:p w14:paraId="5B471F8A">
      <w:pPr>
        <w:pStyle w:val="3"/>
        <w:rPr>
          <w:rFonts w:ascii="楷体_GB2312" w:hAnsi="仿宋_GB2312" w:eastAsia="楷体_GB2312" w:cs="仿宋_GB2312"/>
          <w:color w:val="auto"/>
          <w:kern w:val="0"/>
          <w:sz w:val="28"/>
          <w:szCs w:val="28"/>
          <w:highlight w:val="none"/>
          <w:u w:val="single"/>
        </w:rPr>
      </w:pPr>
    </w:p>
    <w:p w14:paraId="4DF2FA65">
      <w:pPr>
        <w:rPr>
          <w:rFonts w:ascii="楷体_GB2312" w:hAnsi="仿宋_GB2312" w:eastAsia="楷体_GB2312" w:cs="仿宋_GB2312"/>
          <w:color w:val="auto"/>
          <w:kern w:val="0"/>
          <w:sz w:val="28"/>
          <w:szCs w:val="28"/>
          <w:highlight w:val="none"/>
          <w:u w:val="single"/>
        </w:rPr>
      </w:pPr>
    </w:p>
    <w:p w14:paraId="4069FE18">
      <w:pPr>
        <w:pStyle w:val="2"/>
        <w:rPr>
          <w:rFonts w:ascii="楷体_GB2312" w:hAnsi="仿宋_GB2312" w:eastAsia="楷体_GB2312" w:cs="仿宋_GB2312"/>
          <w:color w:val="auto"/>
          <w:kern w:val="0"/>
          <w:sz w:val="28"/>
          <w:szCs w:val="28"/>
          <w:highlight w:val="none"/>
          <w:u w:val="single"/>
        </w:rPr>
      </w:pPr>
    </w:p>
    <w:p w14:paraId="19432495">
      <w:pPr>
        <w:pStyle w:val="3"/>
        <w:rPr>
          <w:rFonts w:ascii="楷体_GB2312" w:hAnsi="仿宋_GB2312" w:eastAsia="楷体_GB2312" w:cs="仿宋_GB2312"/>
          <w:color w:val="auto"/>
          <w:kern w:val="0"/>
          <w:sz w:val="28"/>
          <w:szCs w:val="28"/>
          <w:highlight w:val="none"/>
          <w:u w:val="single"/>
        </w:rPr>
      </w:pPr>
    </w:p>
    <w:p w14:paraId="57822F34">
      <w:pPr>
        <w:rPr>
          <w:rFonts w:ascii="楷体_GB2312" w:hAnsi="仿宋_GB2312" w:eastAsia="楷体_GB2312" w:cs="仿宋_GB2312"/>
          <w:color w:val="auto"/>
          <w:kern w:val="0"/>
          <w:sz w:val="28"/>
          <w:szCs w:val="28"/>
          <w:highlight w:val="none"/>
          <w:u w:val="single"/>
        </w:rPr>
      </w:pPr>
    </w:p>
    <w:p w14:paraId="34E01597">
      <w:pPr>
        <w:pStyle w:val="2"/>
        <w:rPr>
          <w:rFonts w:ascii="楷体_GB2312" w:hAnsi="仿宋_GB2312" w:eastAsia="楷体_GB2312" w:cs="仿宋_GB2312"/>
          <w:color w:val="auto"/>
          <w:kern w:val="0"/>
          <w:sz w:val="28"/>
          <w:szCs w:val="28"/>
          <w:highlight w:val="none"/>
          <w:u w:val="single"/>
        </w:rPr>
      </w:pPr>
    </w:p>
    <w:p w14:paraId="0B8E25F1">
      <w:pPr>
        <w:pStyle w:val="3"/>
        <w:rPr>
          <w:rFonts w:ascii="楷体_GB2312" w:hAnsi="仿宋_GB2312" w:eastAsia="楷体_GB2312" w:cs="仿宋_GB2312"/>
          <w:color w:val="auto"/>
          <w:kern w:val="0"/>
          <w:sz w:val="28"/>
          <w:szCs w:val="28"/>
          <w:highlight w:val="none"/>
          <w:u w:val="single"/>
        </w:rPr>
      </w:pPr>
    </w:p>
    <w:p w14:paraId="56777EF2">
      <w:pPr>
        <w:rPr>
          <w:rFonts w:ascii="楷体_GB2312" w:hAnsi="仿宋_GB2312" w:eastAsia="楷体_GB2312" w:cs="仿宋_GB2312"/>
          <w:color w:val="auto"/>
          <w:kern w:val="0"/>
          <w:sz w:val="28"/>
          <w:szCs w:val="28"/>
          <w:highlight w:val="none"/>
          <w:u w:val="single"/>
        </w:rPr>
      </w:pPr>
    </w:p>
    <w:p w14:paraId="0BAB55EA">
      <w:pPr>
        <w:pStyle w:val="2"/>
        <w:rPr>
          <w:rFonts w:ascii="楷体_GB2312" w:hAnsi="仿宋_GB2312" w:eastAsia="楷体_GB2312" w:cs="仿宋_GB2312"/>
          <w:color w:val="auto"/>
          <w:kern w:val="0"/>
          <w:sz w:val="28"/>
          <w:szCs w:val="28"/>
          <w:highlight w:val="none"/>
          <w:u w:val="single"/>
        </w:rPr>
      </w:pPr>
    </w:p>
    <w:p w14:paraId="16194A12">
      <w:pPr>
        <w:pStyle w:val="3"/>
        <w:rPr>
          <w:rFonts w:ascii="楷体_GB2312" w:hAnsi="仿宋_GB2312" w:eastAsia="楷体_GB2312" w:cs="仿宋_GB2312"/>
          <w:color w:val="auto"/>
          <w:kern w:val="0"/>
          <w:sz w:val="28"/>
          <w:szCs w:val="28"/>
          <w:highlight w:val="none"/>
          <w:u w:val="single"/>
        </w:rPr>
      </w:pPr>
    </w:p>
    <w:p w14:paraId="7EB55638">
      <w:pPr>
        <w:rPr>
          <w:rFonts w:ascii="楷体_GB2312" w:hAnsi="仿宋_GB2312" w:eastAsia="楷体_GB2312" w:cs="仿宋_GB2312"/>
          <w:color w:val="auto"/>
          <w:kern w:val="0"/>
          <w:sz w:val="28"/>
          <w:szCs w:val="28"/>
          <w:highlight w:val="none"/>
          <w:u w:val="single"/>
        </w:rPr>
      </w:pPr>
    </w:p>
    <w:p w14:paraId="7D341296">
      <w:pPr>
        <w:pStyle w:val="2"/>
        <w:rPr>
          <w:rFonts w:ascii="楷体_GB2312" w:hAnsi="仿宋_GB2312" w:eastAsia="楷体_GB2312" w:cs="仿宋_GB2312"/>
          <w:color w:val="auto"/>
          <w:kern w:val="0"/>
          <w:sz w:val="28"/>
          <w:szCs w:val="28"/>
          <w:highlight w:val="none"/>
          <w:u w:val="single"/>
        </w:rPr>
      </w:pPr>
    </w:p>
    <w:p w14:paraId="018CD652">
      <w:pPr>
        <w:pStyle w:val="3"/>
        <w:rPr>
          <w:rFonts w:ascii="楷体_GB2312" w:hAnsi="仿宋_GB2312" w:eastAsia="楷体_GB2312" w:cs="仿宋_GB2312"/>
          <w:color w:val="auto"/>
          <w:kern w:val="0"/>
          <w:sz w:val="28"/>
          <w:szCs w:val="28"/>
          <w:highlight w:val="none"/>
          <w:u w:val="single"/>
        </w:rPr>
      </w:pPr>
    </w:p>
    <w:p w14:paraId="21366B1D">
      <w:pPr>
        <w:rPr>
          <w:rFonts w:ascii="楷体_GB2312" w:hAnsi="仿宋_GB2312" w:eastAsia="楷体_GB2312" w:cs="仿宋_GB2312"/>
          <w:color w:val="auto"/>
          <w:kern w:val="0"/>
          <w:sz w:val="28"/>
          <w:szCs w:val="28"/>
          <w:highlight w:val="none"/>
          <w:u w:val="single"/>
        </w:rPr>
      </w:pPr>
    </w:p>
    <w:p w14:paraId="44DE65DC">
      <w:pPr>
        <w:pStyle w:val="2"/>
        <w:rPr>
          <w:rFonts w:ascii="楷体_GB2312" w:hAnsi="仿宋_GB2312" w:eastAsia="楷体_GB2312" w:cs="仿宋_GB2312"/>
          <w:color w:val="auto"/>
          <w:kern w:val="0"/>
          <w:sz w:val="28"/>
          <w:szCs w:val="28"/>
          <w:highlight w:val="none"/>
          <w:u w:val="single"/>
        </w:rPr>
      </w:pPr>
    </w:p>
    <w:p w14:paraId="04895459">
      <w:pPr>
        <w:pStyle w:val="3"/>
        <w:rPr>
          <w:rFonts w:ascii="楷体_GB2312" w:hAnsi="仿宋_GB2312" w:eastAsia="楷体_GB2312" w:cs="仿宋_GB2312"/>
          <w:color w:val="auto"/>
          <w:kern w:val="0"/>
          <w:sz w:val="28"/>
          <w:szCs w:val="28"/>
          <w:highlight w:val="none"/>
          <w:u w:val="single"/>
        </w:rPr>
      </w:pPr>
    </w:p>
    <w:p w14:paraId="09FFBD5B">
      <w:pPr>
        <w:rPr>
          <w:rFonts w:ascii="楷体_GB2312" w:hAnsi="仿宋_GB2312" w:eastAsia="楷体_GB2312" w:cs="仿宋_GB2312"/>
          <w:color w:val="auto"/>
          <w:kern w:val="0"/>
          <w:sz w:val="28"/>
          <w:szCs w:val="28"/>
          <w:highlight w:val="none"/>
          <w:u w:val="single"/>
        </w:rPr>
      </w:pPr>
    </w:p>
    <w:p w14:paraId="14F339E3">
      <w:pPr>
        <w:pStyle w:val="2"/>
        <w:rPr>
          <w:rFonts w:ascii="楷体_GB2312" w:hAnsi="仿宋_GB2312" w:eastAsia="楷体_GB2312" w:cs="仿宋_GB2312"/>
          <w:color w:val="auto"/>
          <w:kern w:val="0"/>
          <w:sz w:val="28"/>
          <w:szCs w:val="28"/>
          <w:highlight w:val="none"/>
          <w:u w:val="single"/>
        </w:rPr>
      </w:pPr>
    </w:p>
    <w:p w14:paraId="5522008B">
      <w:pPr>
        <w:pStyle w:val="3"/>
        <w:rPr>
          <w:rFonts w:ascii="楷体_GB2312" w:hAnsi="仿宋_GB2312" w:eastAsia="楷体_GB2312" w:cs="仿宋_GB2312"/>
          <w:color w:val="auto"/>
          <w:kern w:val="0"/>
          <w:sz w:val="28"/>
          <w:szCs w:val="28"/>
          <w:highlight w:val="none"/>
          <w:u w:val="single"/>
        </w:rPr>
      </w:pPr>
    </w:p>
    <w:p w14:paraId="6BDD8BD1">
      <w:pPr>
        <w:rPr>
          <w:rFonts w:ascii="楷体_GB2312" w:hAnsi="仿宋_GB2312" w:eastAsia="楷体_GB2312" w:cs="仿宋_GB2312"/>
          <w:color w:val="auto"/>
          <w:kern w:val="0"/>
          <w:sz w:val="28"/>
          <w:szCs w:val="28"/>
          <w:highlight w:val="none"/>
          <w:u w:val="single"/>
        </w:rPr>
      </w:pPr>
    </w:p>
    <w:p w14:paraId="205655B7">
      <w:pPr>
        <w:pStyle w:val="2"/>
        <w:rPr>
          <w:rFonts w:ascii="楷体_GB2312" w:hAnsi="仿宋_GB2312" w:eastAsia="楷体_GB2312" w:cs="仿宋_GB2312"/>
          <w:color w:val="auto"/>
          <w:kern w:val="0"/>
          <w:sz w:val="28"/>
          <w:szCs w:val="28"/>
          <w:highlight w:val="none"/>
          <w:u w:val="single"/>
        </w:rPr>
      </w:pPr>
    </w:p>
    <w:p w14:paraId="126DCBC9">
      <w:pPr>
        <w:pStyle w:val="3"/>
        <w:rPr>
          <w:rFonts w:ascii="楷体_GB2312" w:hAnsi="仿宋_GB2312" w:eastAsia="楷体_GB2312" w:cs="仿宋_GB2312"/>
          <w:color w:val="auto"/>
          <w:kern w:val="0"/>
          <w:sz w:val="28"/>
          <w:szCs w:val="28"/>
          <w:highlight w:val="none"/>
          <w:u w:val="single"/>
        </w:rPr>
      </w:pPr>
    </w:p>
    <w:p w14:paraId="539B8F44">
      <w:pPr>
        <w:rPr>
          <w:rFonts w:ascii="楷体_GB2312" w:hAnsi="仿宋_GB2312" w:eastAsia="楷体_GB2312" w:cs="仿宋_GB2312"/>
          <w:color w:val="auto"/>
          <w:kern w:val="0"/>
          <w:sz w:val="28"/>
          <w:szCs w:val="28"/>
          <w:highlight w:val="none"/>
          <w:u w:val="single"/>
        </w:rPr>
      </w:pPr>
    </w:p>
    <w:p w14:paraId="1B24A5AF">
      <w:pPr>
        <w:pStyle w:val="2"/>
        <w:rPr>
          <w:rFonts w:ascii="楷体_GB2312" w:hAnsi="仿宋_GB2312" w:eastAsia="楷体_GB2312" w:cs="仿宋_GB2312"/>
          <w:color w:val="auto"/>
          <w:kern w:val="0"/>
          <w:sz w:val="28"/>
          <w:szCs w:val="28"/>
          <w:highlight w:val="none"/>
          <w:u w:val="single"/>
        </w:rPr>
      </w:pPr>
    </w:p>
    <w:p w14:paraId="7AA5F5DF">
      <w:pPr>
        <w:pStyle w:val="3"/>
        <w:rPr>
          <w:rFonts w:ascii="楷体_GB2312" w:hAnsi="仿宋_GB2312" w:eastAsia="楷体_GB2312" w:cs="仿宋_GB2312"/>
          <w:color w:val="auto"/>
          <w:kern w:val="0"/>
          <w:sz w:val="28"/>
          <w:szCs w:val="28"/>
          <w:highlight w:val="none"/>
          <w:u w:val="single"/>
        </w:rPr>
      </w:pPr>
    </w:p>
    <w:p w14:paraId="5F52EB23">
      <w:pPr>
        <w:rPr>
          <w:rFonts w:ascii="楷体_GB2312" w:hAnsi="仿宋_GB2312" w:eastAsia="楷体_GB2312" w:cs="仿宋_GB2312"/>
          <w:color w:val="auto"/>
          <w:kern w:val="0"/>
          <w:sz w:val="28"/>
          <w:szCs w:val="28"/>
          <w:highlight w:val="none"/>
          <w:u w:val="single"/>
        </w:rPr>
      </w:pPr>
    </w:p>
    <w:p w14:paraId="567A392B">
      <w:pPr>
        <w:pStyle w:val="2"/>
        <w:rPr>
          <w:rFonts w:ascii="楷体_GB2312" w:hAnsi="仿宋_GB2312" w:eastAsia="楷体_GB2312" w:cs="仿宋_GB2312"/>
          <w:color w:val="auto"/>
          <w:kern w:val="0"/>
          <w:sz w:val="28"/>
          <w:szCs w:val="28"/>
          <w:highlight w:val="none"/>
          <w:u w:val="single"/>
        </w:rPr>
      </w:pPr>
    </w:p>
    <w:p w14:paraId="052F0CC7">
      <w:pPr>
        <w:pStyle w:val="3"/>
        <w:rPr>
          <w:rFonts w:ascii="楷体_GB2312" w:hAnsi="仿宋_GB2312" w:eastAsia="楷体_GB2312" w:cs="仿宋_GB2312"/>
          <w:color w:val="auto"/>
          <w:kern w:val="0"/>
          <w:sz w:val="28"/>
          <w:szCs w:val="28"/>
          <w:highlight w:val="none"/>
          <w:u w:val="single"/>
        </w:rPr>
      </w:pPr>
    </w:p>
    <w:p w14:paraId="22169DCC">
      <w:pPr>
        <w:rPr>
          <w:rFonts w:ascii="楷体_GB2312" w:hAnsi="仿宋_GB2312" w:eastAsia="楷体_GB2312" w:cs="仿宋_GB2312"/>
          <w:color w:val="auto"/>
          <w:kern w:val="0"/>
          <w:sz w:val="28"/>
          <w:szCs w:val="28"/>
          <w:highlight w:val="none"/>
          <w:u w:val="single"/>
        </w:rPr>
      </w:pPr>
    </w:p>
    <w:p w14:paraId="45B355E1">
      <w:pPr>
        <w:pStyle w:val="2"/>
        <w:rPr>
          <w:rFonts w:ascii="楷体_GB2312" w:hAnsi="仿宋_GB2312" w:eastAsia="楷体_GB2312" w:cs="仿宋_GB2312"/>
          <w:color w:val="auto"/>
          <w:kern w:val="0"/>
          <w:sz w:val="28"/>
          <w:szCs w:val="28"/>
          <w:highlight w:val="none"/>
          <w:u w:val="single"/>
        </w:rPr>
      </w:pPr>
    </w:p>
    <w:p w14:paraId="07D1F753">
      <w:pPr>
        <w:pStyle w:val="3"/>
        <w:rPr>
          <w:rFonts w:ascii="楷体_GB2312" w:hAnsi="仿宋_GB2312" w:eastAsia="楷体_GB2312" w:cs="仿宋_GB2312"/>
          <w:color w:val="auto"/>
          <w:kern w:val="0"/>
          <w:sz w:val="28"/>
          <w:szCs w:val="28"/>
          <w:highlight w:val="none"/>
          <w:u w:val="single"/>
        </w:rPr>
      </w:pPr>
    </w:p>
    <w:p w14:paraId="35FFAEC8">
      <w:pPr>
        <w:rPr>
          <w:rFonts w:ascii="楷体_GB2312" w:hAnsi="仿宋_GB2312" w:eastAsia="楷体_GB2312" w:cs="仿宋_GB2312"/>
          <w:color w:val="auto"/>
          <w:kern w:val="0"/>
          <w:sz w:val="28"/>
          <w:szCs w:val="28"/>
          <w:highlight w:val="none"/>
          <w:u w:val="single"/>
        </w:rPr>
      </w:pPr>
    </w:p>
    <w:p w14:paraId="304C07BE">
      <w:pPr>
        <w:pStyle w:val="2"/>
        <w:rPr>
          <w:rFonts w:ascii="楷体_GB2312" w:hAnsi="仿宋_GB2312" w:eastAsia="楷体_GB2312" w:cs="仿宋_GB2312"/>
          <w:color w:val="auto"/>
          <w:kern w:val="0"/>
          <w:sz w:val="28"/>
          <w:szCs w:val="28"/>
          <w:highlight w:val="none"/>
          <w:u w:val="single"/>
        </w:rPr>
      </w:pPr>
    </w:p>
    <w:p w14:paraId="04C92F43">
      <w:pPr>
        <w:pStyle w:val="3"/>
        <w:rPr>
          <w:rFonts w:ascii="楷体_GB2312" w:hAnsi="仿宋_GB2312" w:eastAsia="楷体_GB2312" w:cs="仿宋_GB2312"/>
          <w:color w:val="auto"/>
          <w:kern w:val="0"/>
          <w:sz w:val="28"/>
          <w:szCs w:val="28"/>
          <w:highlight w:val="none"/>
          <w:u w:val="single"/>
        </w:rPr>
      </w:pPr>
    </w:p>
    <w:p w14:paraId="38A060D7">
      <w:pPr>
        <w:rPr>
          <w:rFonts w:ascii="楷体_GB2312" w:hAnsi="仿宋_GB2312" w:eastAsia="楷体_GB2312" w:cs="仿宋_GB2312"/>
          <w:color w:val="auto"/>
          <w:kern w:val="0"/>
          <w:sz w:val="28"/>
          <w:szCs w:val="28"/>
          <w:highlight w:val="none"/>
          <w:u w:val="single"/>
        </w:rPr>
      </w:pPr>
    </w:p>
    <w:p w14:paraId="1689F884">
      <w:pPr>
        <w:pStyle w:val="2"/>
        <w:rPr>
          <w:rFonts w:ascii="楷体_GB2312" w:hAnsi="仿宋_GB2312" w:eastAsia="楷体_GB2312" w:cs="仿宋_GB2312"/>
          <w:color w:val="auto"/>
          <w:kern w:val="0"/>
          <w:sz w:val="28"/>
          <w:szCs w:val="28"/>
          <w:highlight w:val="none"/>
          <w:u w:val="single"/>
        </w:rPr>
      </w:pPr>
    </w:p>
    <w:p w14:paraId="3087E7BF">
      <w:pPr>
        <w:pStyle w:val="3"/>
      </w:pPr>
    </w:p>
    <w:p w14:paraId="19A3B9E7">
      <w:pPr>
        <w:keepNext w:val="0"/>
        <w:keepLines w:val="0"/>
        <w:pageBreakBefore w:val="0"/>
        <w:widowControl w:val="0"/>
        <w:kinsoku/>
        <w:wordWrap/>
        <w:overflowPunct/>
        <w:topLinePunct w:val="0"/>
        <w:autoSpaceDE/>
        <w:autoSpaceDN/>
        <w:bidi w:val="0"/>
        <w:adjustRightInd/>
        <w:snapToGrid/>
        <w:spacing w:line="560" w:lineRule="exact"/>
        <w:textAlignment w:val="auto"/>
        <w:rPr>
          <w:rFonts w:ascii="楷体_GB2312" w:hAnsi="仿宋_GB2312" w:eastAsia="楷体_GB2312" w:cs="仿宋_GB2312"/>
          <w:color w:val="auto"/>
          <w:kern w:val="0"/>
          <w:sz w:val="28"/>
          <w:szCs w:val="28"/>
          <w:highlight w:val="none"/>
          <w:u w:val="single"/>
        </w:rPr>
      </w:pPr>
    </w:p>
    <w:p w14:paraId="0091D75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楷体" w:hAnsi="楷体" w:eastAsia="楷体" w:cs="仿宋_GB2312"/>
          <w:color w:val="auto"/>
          <w:kern w:val="0"/>
          <w:sz w:val="28"/>
          <w:szCs w:val="28"/>
          <w:highlight w:val="none"/>
          <w:u w:val="single"/>
          <w:lang w:val="en-US" w:eastAsia="zh-CN"/>
        </w:rPr>
      </w:pPr>
      <w:r>
        <w:rPr>
          <w:rFonts w:ascii="楷体_GB2312" w:hAnsi="仿宋_GB2312" w:eastAsia="楷体_GB2312" w:cs="仿宋_GB2312"/>
          <w:color w:val="auto"/>
          <w:kern w:val="0"/>
          <w:sz w:val="28"/>
          <w:szCs w:val="28"/>
          <w:highlight w:val="none"/>
          <w:u w:val="single"/>
        </w:rPr>
        <w:t xml:space="preserve">                                  </w:t>
      </w: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highlight w:val="none"/>
          <w:u w:val="single"/>
          <w:lang w:val="en-US" w:eastAsia="zh-CN"/>
        </w:rPr>
        <w:t xml:space="preserve">       </w:t>
      </w:r>
    </w:p>
    <w:p w14:paraId="065D5FF6">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 w:hAnsi="仿宋" w:eastAsia="楷体" w:cs="仿宋"/>
          <w:color w:val="auto"/>
          <w:sz w:val="32"/>
          <w:szCs w:val="32"/>
          <w:lang w:val="en-US" w:eastAsia="zh-CN"/>
        </w:rPr>
      </w:pP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highlight w:val="none"/>
          <w:u w:val="single"/>
          <w:lang w:eastAsia="zh-CN"/>
        </w:rPr>
        <w:t>中共</w:t>
      </w:r>
      <w:r>
        <w:rPr>
          <w:rFonts w:hint="eastAsia" w:ascii="楷体" w:hAnsi="楷体" w:eastAsia="楷体" w:cs="仿宋_GB2312"/>
          <w:color w:val="auto"/>
          <w:kern w:val="0"/>
          <w:sz w:val="28"/>
          <w:szCs w:val="28"/>
          <w:highlight w:val="none"/>
          <w:u w:val="single"/>
        </w:rPr>
        <w:t>涞源县</w:t>
      </w:r>
      <w:r>
        <w:rPr>
          <w:rFonts w:hint="eastAsia" w:ascii="楷体" w:hAnsi="楷体" w:eastAsia="楷体" w:cs="仿宋_GB2312"/>
          <w:color w:val="auto"/>
          <w:kern w:val="0"/>
          <w:sz w:val="28"/>
          <w:szCs w:val="28"/>
          <w:highlight w:val="none"/>
          <w:u w:val="single"/>
          <w:lang w:eastAsia="zh-CN"/>
        </w:rPr>
        <w:t>委农村工作领导小组</w:t>
      </w:r>
      <w:r>
        <w:rPr>
          <w:rFonts w:hint="eastAsia" w:ascii="楷体" w:hAnsi="楷体" w:eastAsia="楷体" w:cs="仿宋_GB2312"/>
          <w:color w:val="auto"/>
          <w:kern w:val="0"/>
          <w:sz w:val="28"/>
          <w:szCs w:val="28"/>
          <w:highlight w:val="none"/>
          <w:u w:val="single"/>
        </w:rPr>
        <w:t>办公室</w:t>
      </w: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highlight w:val="none"/>
          <w:u w:val="single"/>
          <w:lang w:val="en-US" w:eastAsia="zh-CN"/>
        </w:rPr>
        <w:t xml:space="preserve"> </w:t>
      </w:r>
      <w:r>
        <w:rPr>
          <w:rFonts w:ascii="楷体" w:hAnsi="楷体" w:eastAsia="楷体" w:cs="仿宋_GB2312"/>
          <w:color w:val="auto"/>
          <w:kern w:val="0"/>
          <w:sz w:val="28"/>
          <w:szCs w:val="28"/>
          <w:highlight w:val="none"/>
          <w:u w:val="single"/>
        </w:rPr>
        <w:t xml:space="preserve">   202</w:t>
      </w:r>
      <w:r>
        <w:rPr>
          <w:rFonts w:hint="eastAsia" w:ascii="楷体" w:hAnsi="楷体" w:eastAsia="楷体" w:cs="仿宋_GB2312"/>
          <w:color w:val="auto"/>
          <w:kern w:val="0"/>
          <w:sz w:val="28"/>
          <w:szCs w:val="28"/>
          <w:highlight w:val="none"/>
          <w:u w:val="single"/>
          <w:lang w:val="en-US" w:eastAsia="zh-CN"/>
        </w:rPr>
        <w:t>5</w:t>
      </w:r>
      <w:r>
        <w:rPr>
          <w:rFonts w:hint="eastAsia" w:ascii="楷体" w:hAnsi="楷体" w:eastAsia="楷体" w:cs="仿宋_GB2312"/>
          <w:color w:val="auto"/>
          <w:kern w:val="0"/>
          <w:sz w:val="28"/>
          <w:szCs w:val="28"/>
          <w:highlight w:val="none"/>
          <w:u w:val="single"/>
        </w:rPr>
        <w:t>年</w:t>
      </w:r>
      <w:r>
        <w:rPr>
          <w:rFonts w:hint="eastAsia" w:ascii="楷体" w:hAnsi="楷体" w:eastAsia="楷体" w:cs="仿宋_GB2312"/>
          <w:color w:val="auto"/>
          <w:kern w:val="0"/>
          <w:sz w:val="28"/>
          <w:szCs w:val="28"/>
          <w:highlight w:val="none"/>
          <w:u w:val="single"/>
          <w:lang w:val="en-US" w:eastAsia="zh-CN"/>
        </w:rPr>
        <w:t>12</w:t>
      </w:r>
      <w:r>
        <w:rPr>
          <w:rFonts w:hint="eastAsia" w:ascii="楷体" w:hAnsi="楷体" w:eastAsia="楷体" w:cs="仿宋_GB2312"/>
          <w:color w:val="auto"/>
          <w:kern w:val="0"/>
          <w:sz w:val="28"/>
          <w:szCs w:val="28"/>
          <w:highlight w:val="none"/>
          <w:u w:val="single"/>
        </w:rPr>
        <w:t>月</w:t>
      </w:r>
      <w:r>
        <w:rPr>
          <w:rFonts w:hint="eastAsia" w:ascii="楷体" w:hAnsi="楷体" w:eastAsia="楷体" w:cs="仿宋_GB2312"/>
          <w:color w:val="auto"/>
          <w:kern w:val="0"/>
          <w:sz w:val="28"/>
          <w:szCs w:val="28"/>
          <w:highlight w:val="none"/>
          <w:u w:val="single"/>
          <w:lang w:val="en-US" w:eastAsia="zh-CN"/>
        </w:rPr>
        <w:t>18</w:t>
      </w:r>
      <w:r>
        <w:rPr>
          <w:rFonts w:hint="eastAsia" w:ascii="楷体" w:hAnsi="楷体" w:eastAsia="楷体" w:cs="仿宋_GB2312"/>
          <w:color w:val="auto"/>
          <w:kern w:val="0"/>
          <w:sz w:val="28"/>
          <w:szCs w:val="28"/>
          <w:highlight w:val="none"/>
          <w:u w:val="single"/>
        </w:rPr>
        <w:t>日印发</w:t>
      </w: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u w:val="single"/>
          <w:lang w:val="en-US" w:eastAsia="zh-CN"/>
        </w:rPr>
        <w:t xml:space="preserve">    </w:t>
      </w:r>
    </w:p>
    <w:sectPr>
      <w:footerReference r:id="rId3" w:type="default"/>
      <w:footerReference r:id="rId4" w:type="even"/>
      <w:pgSz w:w="11906" w:h="16838"/>
      <w:pgMar w:top="2098" w:right="1531" w:bottom="1984" w:left="1531" w:header="851" w:footer="51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E782691-03C5-420D-A6FD-4551E2B1A50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embedRegular r:id="rId2" w:fontKey="{344D8589-006D-4853-8604-7060E160BFE0}"/>
  </w:font>
  <w:font w:name="Cambria">
    <w:panose1 w:val="02040503050406030204"/>
    <w:charset w:val="00"/>
    <w:family w:val="roman"/>
    <w:pitch w:val="default"/>
    <w:sig w:usb0="E00002FF" w:usb1="400004FF" w:usb2="00000000" w:usb3="00000000" w:csb0="2000019F" w:csb1="00000000"/>
  </w:font>
  <w:font w:name="方正仿宋_GBK">
    <w:panose1 w:val="02000000000000000000"/>
    <w:charset w:val="86"/>
    <w:family w:val="auto"/>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3300E328-1D37-4324-841B-57BFD89DBFF0}"/>
  </w:font>
  <w:font w:name="方正仿宋_GB2312">
    <w:panose1 w:val="02000000000000000000"/>
    <w:charset w:val="86"/>
    <w:family w:val="auto"/>
    <w:pitch w:val="default"/>
    <w:sig w:usb0="A00002BF" w:usb1="184F6CFA" w:usb2="00000012" w:usb3="00000000" w:csb0="00040001" w:csb1="00000000"/>
    <w:embedRegular r:id="rId4" w:fontKey="{8D7D8EBB-8E5E-4871-9C54-631020A191E4}"/>
  </w:font>
  <w:font w:name="方正小标宋简体">
    <w:panose1 w:val="02000000000000000000"/>
    <w:charset w:val="86"/>
    <w:family w:val="auto"/>
    <w:pitch w:val="default"/>
    <w:sig w:usb0="00000001" w:usb1="08000000" w:usb2="00000000" w:usb3="00000000" w:csb0="00040000" w:csb1="00000000"/>
    <w:embedRegular r:id="rId5" w:fontKey="{EB35F3AD-8747-43A3-B92D-87A2ED037146}"/>
  </w:font>
  <w:font w:name="楷体">
    <w:panose1 w:val="02010609060101010101"/>
    <w:charset w:val="86"/>
    <w:family w:val="modern"/>
    <w:pitch w:val="default"/>
    <w:sig w:usb0="800002BF" w:usb1="38CF7CFA" w:usb2="00000016" w:usb3="00000000" w:csb0="00040001" w:csb1="00000000"/>
    <w:embedRegular r:id="rId6" w:fontKey="{9CBBF462-0BD9-4278-8364-620D020F5B04}"/>
  </w:font>
  <w:font w:name="仿宋">
    <w:panose1 w:val="02010609060101010101"/>
    <w:charset w:val="86"/>
    <w:family w:val="modern"/>
    <w:pitch w:val="default"/>
    <w:sig w:usb0="800002BF" w:usb1="38CF7CFA" w:usb2="00000016" w:usb3="00000000" w:csb0="00040001" w:csb1="00000000"/>
    <w:embedRegular r:id="rId7" w:fontKey="{19F61DB1-430B-4F68-AC89-13284559843D}"/>
  </w:font>
  <w:font w:name="WPSEMBED2">
    <w:panose1 w:val="02010609030101010101"/>
    <w:charset w:val="86"/>
    <w:family w:val="auto"/>
    <w:pitch w:val="default"/>
    <w:sig w:usb0="00000001" w:usb1="080E0000" w:usb2="00000000" w:usb3="00000000" w:csb0="00040000"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A9A9">
    <w:pPr>
      <w:pStyle w:val="3"/>
      <w:bidi w:val="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-99695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1C742">
                          <w:pPr>
                            <w:pStyle w:val="3"/>
                          </w:pP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7.85pt;height:144pt;width:144pt;mso-position-horizontal:outside;mso-position-horizontal-relative:margin;mso-wrap-style:none;z-index:251659264;mso-width-relative:page;mso-height-relative:page;" filled="f" stroked="f" coordsize="21600,21600" o:gfxdata="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jBjNvWAAAACAEAAA8AAAAAAAAAAQAgAAAAIgAAAGRycy9kb3ducmV2LnhtbFBL&#10;AQIUABQAAAAIAIdO4kBrhfn7MQIAAGEEAAAOAAAAAAAAAAEAIAAAACUBAABkcnMvZTJvRG9jLnht&#10;bFBLBQYAAAAABgAGAFkBAADIBQAAAAA=&#10;">
              <v:fill on="f" focussize="0,0"/>
              <v:stroke on="f" weight="0.5pt"/>
              <v:imagedata o:title=""/>
              <o:lock v:ext="edit" aspectratio="f"/>
              <v:textbox inset="0mm,0mm,0mm,0mm" style="mso-fit-shape-to-text:t;">
                <w:txbxContent>
                  <w:p w14:paraId="60E1C742">
                    <w:pPr>
                      <w:pStyle w:val="3"/>
                    </w:pP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C15F2">
    <w:pPr>
      <w:pStyle w:val="3"/>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14:paraId="180FD0C1">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zNGI1MTQyOWY3ZDgyZWZlNTkxOTJlYTIyNTJkMzIifQ=="/>
  </w:docVars>
  <w:rsids>
    <w:rsidRoot w:val="557A343B"/>
    <w:rsid w:val="00442FB3"/>
    <w:rsid w:val="004B0E2E"/>
    <w:rsid w:val="007333FF"/>
    <w:rsid w:val="00956440"/>
    <w:rsid w:val="00965D46"/>
    <w:rsid w:val="00D4782E"/>
    <w:rsid w:val="00E12A78"/>
    <w:rsid w:val="00E40D49"/>
    <w:rsid w:val="00F44F67"/>
    <w:rsid w:val="012B4701"/>
    <w:rsid w:val="027061CF"/>
    <w:rsid w:val="033B2C29"/>
    <w:rsid w:val="03812408"/>
    <w:rsid w:val="038757A9"/>
    <w:rsid w:val="03C07382"/>
    <w:rsid w:val="04E43544"/>
    <w:rsid w:val="04E6106A"/>
    <w:rsid w:val="05107E95"/>
    <w:rsid w:val="059B4A44"/>
    <w:rsid w:val="05BE6D15"/>
    <w:rsid w:val="06357858"/>
    <w:rsid w:val="063F547A"/>
    <w:rsid w:val="07342561"/>
    <w:rsid w:val="07AA45D1"/>
    <w:rsid w:val="088E3EF3"/>
    <w:rsid w:val="08CC1C9C"/>
    <w:rsid w:val="08E73603"/>
    <w:rsid w:val="096E162E"/>
    <w:rsid w:val="09CF1D46"/>
    <w:rsid w:val="0A3F0479"/>
    <w:rsid w:val="0A58372D"/>
    <w:rsid w:val="0AD100C7"/>
    <w:rsid w:val="0B071D3B"/>
    <w:rsid w:val="0B6D79D4"/>
    <w:rsid w:val="0BE5201B"/>
    <w:rsid w:val="0C1012F8"/>
    <w:rsid w:val="0C30706F"/>
    <w:rsid w:val="0C873133"/>
    <w:rsid w:val="0DB25F8E"/>
    <w:rsid w:val="0E070F87"/>
    <w:rsid w:val="0E9D6C3E"/>
    <w:rsid w:val="0EE7435D"/>
    <w:rsid w:val="0FC36648"/>
    <w:rsid w:val="0FF158B6"/>
    <w:rsid w:val="113D70AC"/>
    <w:rsid w:val="11DB2601"/>
    <w:rsid w:val="11F27D2E"/>
    <w:rsid w:val="11FE0054"/>
    <w:rsid w:val="12CD5618"/>
    <w:rsid w:val="132425AA"/>
    <w:rsid w:val="13683522"/>
    <w:rsid w:val="13C94031"/>
    <w:rsid w:val="145A737F"/>
    <w:rsid w:val="151E65FF"/>
    <w:rsid w:val="15BE33C1"/>
    <w:rsid w:val="162B4ED3"/>
    <w:rsid w:val="1767428D"/>
    <w:rsid w:val="17795D6E"/>
    <w:rsid w:val="17B943BD"/>
    <w:rsid w:val="17D37F3B"/>
    <w:rsid w:val="18534811"/>
    <w:rsid w:val="18D771F0"/>
    <w:rsid w:val="18ED07C2"/>
    <w:rsid w:val="198578A7"/>
    <w:rsid w:val="1991739F"/>
    <w:rsid w:val="199B1FCC"/>
    <w:rsid w:val="19F31E08"/>
    <w:rsid w:val="1A402B73"/>
    <w:rsid w:val="1B171B26"/>
    <w:rsid w:val="1B373F76"/>
    <w:rsid w:val="1B98453F"/>
    <w:rsid w:val="1BB630ED"/>
    <w:rsid w:val="1C6635DD"/>
    <w:rsid w:val="1CC77821"/>
    <w:rsid w:val="1CF27EDB"/>
    <w:rsid w:val="1E366767"/>
    <w:rsid w:val="1E550E49"/>
    <w:rsid w:val="1E5527C0"/>
    <w:rsid w:val="1E6C5D77"/>
    <w:rsid w:val="1E6D0ADF"/>
    <w:rsid w:val="1EDD3086"/>
    <w:rsid w:val="1F7A08D5"/>
    <w:rsid w:val="1FE12702"/>
    <w:rsid w:val="1FE67436"/>
    <w:rsid w:val="20F76695"/>
    <w:rsid w:val="212D20A3"/>
    <w:rsid w:val="21676C37"/>
    <w:rsid w:val="21E20834"/>
    <w:rsid w:val="21F93D33"/>
    <w:rsid w:val="225B73E8"/>
    <w:rsid w:val="22717D6E"/>
    <w:rsid w:val="22980CA3"/>
    <w:rsid w:val="22B97967"/>
    <w:rsid w:val="22C87E53"/>
    <w:rsid w:val="23310D32"/>
    <w:rsid w:val="23531B69"/>
    <w:rsid w:val="241919A4"/>
    <w:rsid w:val="24526AF4"/>
    <w:rsid w:val="258E3F0E"/>
    <w:rsid w:val="26086C3B"/>
    <w:rsid w:val="261849A4"/>
    <w:rsid w:val="27574277"/>
    <w:rsid w:val="275A1718"/>
    <w:rsid w:val="27AC7A9A"/>
    <w:rsid w:val="27FC457D"/>
    <w:rsid w:val="283E175A"/>
    <w:rsid w:val="289B3D96"/>
    <w:rsid w:val="296D5007"/>
    <w:rsid w:val="2AA0786B"/>
    <w:rsid w:val="2AD92954"/>
    <w:rsid w:val="2B552B39"/>
    <w:rsid w:val="2B6637AE"/>
    <w:rsid w:val="2BA42D46"/>
    <w:rsid w:val="2C4B7881"/>
    <w:rsid w:val="2C6C77F8"/>
    <w:rsid w:val="2C9A4365"/>
    <w:rsid w:val="2D1B54A6"/>
    <w:rsid w:val="2EBF5C53"/>
    <w:rsid w:val="2ED95618"/>
    <w:rsid w:val="2EF266DA"/>
    <w:rsid w:val="2FE36023"/>
    <w:rsid w:val="2FEC07F3"/>
    <w:rsid w:val="30494873"/>
    <w:rsid w:val="30B570CD"/>
    <w:rsid w:val="30C819F8"/>
    <w:rsid w:val="31336B36"/>
    <w:rsid w:val="316136A3"/>
    <w:rsid w:val="324059AE"/>
    <w:rsid w:val="333C43C8"/>
    <w:rsid w:val="33802506"/>
    <w:rsid w:val="34050C5E"/>
    <w:rsid w:val="34190265"/>
    <w:rsid w:val="353C1ABD"/>
    <w:rsid w:val="36651496"/>
    <w:rsid w:val="36A67F48"/>
    <w:rsid w:val="37E14DD2"/>
    <w:rsid w:val="37F25055"/>
    <w:rsid w:val="380D6333"/>
    <w:rsid w:val="388472DF"/>
    <w:rsid w:val="38912AC0"/>
    <w:rsid w:val="38E075A3"/>
    <w:rsid w:val="3A3A2CE3"/>
    <w:rsid w:val="3B7A5A8D"/>
    <w:rsid w:val="3B9D177C"/>
    <w:rsid w:val="3BF05D4F"/>
    <w:rsid w:val="3C4C2E7D"/>
    <w:rsid w:val="3C722C08"/>
    <w:rsid w:val="3D3B124C"/>
    <w:rsid w:val="3DD11BB1"/>
    <w:rsid w:val="3E5C15AF"/>
    <w:rsid w:val="3E772758"/>
    <w:rsid w:val="3E815385"/>
    <w:rsid w:val="3EEC1F3C"/>
    <w:rsid w:val="3F3B690A"/>
    <w:rsid w:val="3F8C2233"/>
    <w:rsid w:val="40153FD6"/>
    <w:rsid w:val="40300E10"/>
    <w:rsid w:val="40E13381"/>
    <w:rsid w:val="42B5776D"/>
    <w:rsid w:val="4303280C"/>
    <w:rsid w:val="431E7646"/>
    <w:rsid w:val="436239D7"/>
    <w:rsid w:val="43A63911"/>
    <w:rsid w:val="449F0E14"/>
    <w:rsid w:val="44F16209"/>
    <w:rsid w:val="457F1EF2"/>
    <w:rsid w:val="460713B5"/>
    <w:rsid w:val="469D0D7B"/>
    <w:rsid w:val="46BD0F24"/>
    <w:rsid w:val="47413903"/>
    <w:rsid w:val="47A96AE2"/>
    <w:rsid w:val="49374FBE"/>
    <w:rsid w:val="493C4382"/>
    <w:rsid w:val="4AA743C5"/>
    <w:rsid w:val="4B2403B5"/>
    <w:rsid w:val="4B35377F"/>
    <w:rsid w:val="4C0C3318"/>
    <w:rsid w:val="4DAB41CC"/>
    <w:rsid w:val="4DEF1478"/>
    <w:rsid w:val="4E38753D"/>
    <w:rsid w:val="4EA330F5"/>
    <w:rsid w:val="4EC866B8"/>
    <w:rsid w:val="4EFD50D2"/>
    <w:rsid w:val="4F5F701C"/>
    <w:rsid w:val="5039786D"/>
    <w:rsid w:val="50680152"/>
    <w:rsid w:val="516A1CA8"/>
    <w:rsid w:val="516F2F3E"/>
    <w:rsid w:val="51736DAF"/>
    <w:rsid w:val="519A258E"/>
    <w:rsid w:val="52F6132D"/>
    <w:rsid w:val="53787030"/>
    <w:rsid w:val="538B6611"/>
    <w:rsid w:val="543A1E06"/>
    <w:rsid w:val="54E3124D"/>
    <w:rsid w:val="5516017D"/>
    <w:rsid w:val="557A343B"/>
    <w:rsid w:val="56B3765A"/>
    <w:rsid w:val="57BB325E"/>
    <w:rsid w:val="57F86260"/>
    <w:rsid w:val="582E1C82"/>
    <w:rsid w:val="58A92390"/>
    <w:rsid w:val="591075D9"/>
    <w:rsid w:val="59254E33"/>
    <w:rsid w:val="596F60AE"/>
    <w:rsid w:val="597B2CA5"/>
    <w:rsid w:val="59895CE9"/>
    <w:rsid w:val="5A0A3E5C"/>
    <w:rsid w:val="5A7A7A4B"/>
    <w:rsid w:val="5A9E49E8"/>
    <w:rsid w:val="5AFF4DF5"/>
    <w:rsid w:val="5B0E5935"/>
    <w:rsid w:val="5B3E6680"/>
    <w:rsid w:val="5B4E469E"/>
    <w:rsid w:val="5BC64B2D"/>
    <w:rsid w:val="5C2313D1"/>
    <w:rsid w:val="5C430981"/>
    <w:rsid w:val="5CEA0BA0"/>
    <w:rsid w:val="5D0B433F"/>
    <w:rsid w:val="5DFF3D88"/>
    <w:rsid w:val="5ED26507"/>
    <w:rsid w:val="5F9436B0"/>
    <w:rsid w:val="5FC627A0"/>
    <w:rsid w:val="5FCD3B2E"/>
    <w:rsid w:val="605A15A7"/>
    <w:rsid w:val="607D37A6"/>
    <w:rsid w:val="609805E0"/>
    <w:rsid w:val="60B13A48"/>
    <w:rsid w:val="60DB04CD"/>
    <w:rsid w:val="60E9485E"/>
    <w:rsid w:val="60FD0443"/>
    <w:rsid w:val="61442516"/>
    <w:rsid w:val="61576566"/>
    <w:rsid w:val="619D5782"/>
    <w:rsid w:val="61D5316E"/>
    <w:rsid w:val="62592C98"/>
    <w:rsid w:val="63391F7B"/>
    <w:rsid w:val="63C76C77"/>
    <w:rsid w:val="64032214"/>
    <w:rsid w:val="64283A29"/>
    <w:rsid w:val="647A6DA2"/>
    <w:rsid w:val="65340A90"/>
    <w:rsid w:val="65442AE4"/>
    <w:rsid w:val="657E3A86"/>
    <w:rsid w:val="658253BB"/>
    <w:rsid w:val="66187ACD"/>
    <w:rsid w:val="66342B59"/>
    <w:rsid w:val="66924AC5"/>
    <w:rsid w:val="66DD015D"/>
    <w:rsid w:val="66F916AD"/>
    <w:rsid w:val="6716400D"/>
    <w:rsid w:val="67E20393"/>
    <w:rsid w:val="67E50DBD"/>
    <w:rsid w:val="6924128F"/>
    <w:rsid w:val="69476DB6"/>
    <w:rsid w:val="69B95123"/>
    <w:rsid w:val="69C13687"/>
    <w:rsid w:val="69E44896"/>
    <w:rsid w:val="6A4A35D4"/>
    <w:rsid w:val="6A9267DC"/>
    <w:rsid w:val="6B0A0E05"/>
    <w:rsid w:val="6BDF1119"/>
    <w:rsid w:val="6CAB429E"/>
    <w:rsid w:val="6D85139E"/>
    <w:rsid w:val="6DC31CB5"/>
    <w:rsid w:val="6E0077C5"/>
    <w:rsid w:val="6E056B89"/>
    <w:rsid w:val="6E3557E7"/>
    <w:rsid w:val="6E456C09"/>
    <w:rsid w:val="6F975F07"/>
    <w:rsid w:val="714F3172"/>
    <w:rsid w:val="71542301"/>
    <w:rsid w:val="71C771AF"/>
    <w:rsid w:val="71E33685"/>
    <w:rsid w:val="72253C9E"/>
    <w:rsid w:val="740C0C71"/>
    <w:rsid w:val="74312486"/>
    <w:rsid w:val="7441134A"/>
    <w:rsid w:val="74864BB2"/>
    <w:rsid w:val="75722D56"/>
    <w:rsid w:val="762F50EB"/>
    <w:rsid w:val="767D7C04"/>
    <w:rsid w:val="76D33CC8"/>
    <w:rsid w:val="76F0554B"/>
    <w:rsid w:val="772779E0"/>
    <w:rsid w:val="7730111A"/>
    <w:rsid w:val="779E42D6"/>
    <w:rsid w:val="77B07B65"/>
    <w:rsid w:val="77C1415C"/>
    <w:rsid w:val="77D10CE5"/>
    <w:rsid w:val="77DD3DAF"/>
    <w:rsid w:val="780103C1"/>
    <w:rsid w:val="7973709D"/>
    <w:rsid w:val="79DA711C"/>
    <w:rsid w:val="7A7C01D3"/>
    <w:rsid w:val="7AAD65DE"/>
    <w:rsid w:val="7B5730E1"/>
    <w:rsid w:val="7BD007D6"/>
    <w:rsid w:val="7C29710F"/>
    <w:rsid w:val="7C52568F"/>
    <w:rsid w:val="7CB41E81"/>
    <w:rsid w:val="7E521976"/>
    <w:rsid w:val="BA7B23C6"/>
    <w:rsid w:val="FB6FFFC2"/>
    <w:rsid w:val="FDD74CA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9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4"/>
    <w:autoRedefine/>
    <w:qFormat/>
    <w:uiPriority w:val="99"/>
    <w:pPr>
      <w:spacing w:before="100" w:beforeAutospacing="1" w:after="100" w:afterAutospacing="1"/>
      <w:jc w:val="left"/>
      <w:outlineLvl w:val="0"/>
    </w:pPr>
    <w:rPr>
      <w:rFonts w:ascii="宋体" w:hAnsi="宋体"/>
      <w:b/>
      <w:bCs/>
      <w:kern w:val="44"/>
      <w:sz w:val="48"/>
      <w:szCs w:val="48"/>
    </w:rPr>
  </w:style>
  <w:style w:type="character" w:default="1" w:styleId="11">
    <w:name w:val="Default Paragraph Font"/>
    <w:autoRedefine/>
    <w:semiHidden/>
    <w:qFormat/>
    <w:uiPriority w:val="99"/>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15"/>
    <w:autoRedefine/>
    <w:qFormat/>
    <w:uiPriority w:val="99"/>
    <w:pPr>
      <w:spacing w:line="480" w:lineRule="exact"/>
    </w:pPr>
    <w:rPr>
      <w:rFonts w:ascii="宋体" w:hAnsi="宋体"/>
      <w:sz w:val="28"/>
    </w:rPr>
  </w:style>
  <w:style w:type="paragraph" w:styleId="3">
    <w:name w:val="footer"/>
    <w:basedOn w:val="1"/>
    <w:next w:val="1"/>
    <w:link w:val="16"/>
    <w:autoRedefine/>
    <w:qFormat/>
    <w:uiPriority w:val="99"/>
    <w:pPr>
      <w:tabs>
        <w:tab w:val="center" w:pos="4153"/>
        <w:tab w:val="right" w:pos="8306"/>
      </w:tabs>
      <w:snapToGrid w:val="0"/>
      <w:jc w:val="left"/>
    </w:pPr>
    <w:rPr>
      <w:sz w:val="18"/>
    </w:rPr>
  </w:style>
  <w:style w:type="paragraph" w:styleId="5">
    <w:name w:val="Normal Indent"/>
    <w:basedOn w:val="1"/>
    <w:autoRedefine/>
    <w:qFormat/>
    <w:uiPriority w:val="99"/>
    <w:pPr>
      <w:ind w:firstLine="420" w:firstLineChars="200"/>
    </w:pPr>
  </w:style>
  <w:style w:type="paragraph" w:styleId="6">
    <w:name w:val="header"/>
    <w:basedOn w:val="1"/>
    <w:link w:val="17"/>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next w:val="1"/>
    <w:autoRedefine/>
    <w:qFormat/>
    <w:uiPriority w:val="99"/>
    <w:pPr>
      <w:kinsoku w:val="0"/>
      <w:overflowPunct w:val="0"/>
      <w:autoSpaceDE w:val="0"/>
      <w:autoSpaceDN w:val="0"/>
      <w:spacing w:line="20" w:lineRule="exact"/>
      <w:ind w:firstLine="640" w:firstLineChars="200"/>
    </w:pPr>
    <w:rPr>
      <w:rFonts w:ascii="楷体_GB2312" w:hAnsi="黑体" w:eastAsia="楷体_GB2312" w:cs="楷体_GB2312"/>
      <w:kern w:val="0"/>
      <w:sz w:val="32"/>
      <w:szCs w:val="32"/>
    </w:rPr>
  </w:style>
  <w:style w:type="paragraph" w:styleId="8">
    <w:name w:val="Normal (Web)"/>
    <w:basedOn w:val="1"/>
    <w:autoRedefine/>
    <w:qFormat/>
    <w:uiPriority w:val="99"/>
    <w:pPr>
      <w:spacing w:before="100" w:beforeAutospacing="1" w:after="100" w:afterAutospacing="1"/>
      <w:jc w:val="left"/>
    </w:pPr>
    <w:rPr>
      <w:kern w:val="0"/>
      <w:sz w:val="24"/>
    </w:rPr>
  </w:style>
  <w:style w:type="paragraph" w:styleId="9">
    <w:name w:val="Title"/>
    <w:basedOn w:val="1"/>
    <w:next w:val="1"/>
    <w:autoRedefine/>
    <w:qFormat/>
    <w:locked/>
    <w:uiPriority w:val="99"/>
    <w:pPr>
      <w:spacing w:before="240" w:after="60"/>
      <w:jc w:val="center"/>
      <w:outlineLvl w:val="0"/>
    </w:pPr>
    <w:rPr>
      <w:rFonts w:ascii="Cambria" w:hAnsi="Cambria" w:cs="Cambria"/>
      <w:b/>
      <w:bCs/>
    </w:rPr>
  </w:style>
  <w:style w:type="character" w:styleId="12">
    <w:name w:val="page number"/>
    <w:basedOn w:val="11"/>
    <w:autoRedefine/>
    <w:qFormat/>
    <w:uiPriority w:val="99"/>
    <w:rPr>
      <w:rFonts w:cs="Times New Roman"/>
    </w:rPr>
  </w:style>
  <w:style w:type="character" w:styleId="13">
    <w:name w:val="Emphasis"/>
    <w:basedOn w:val="11"/>
    <w:autoRedefine/>
    <w:qFormat/>
    <w:uiPriority w:val="99"/>
    <w:rPr>
      <w:rFonts w:cs="Times New Roman"/>
      <w:i/>
    </w:rPr>
  </w:style>
  <w:style w:type="character" w:customStyle="1" w:styleId="14">
    <w:name w:val="Heading 1 Char"/>
    <w:basedOn w:val="11"/>
    <w:link w:val="4"/>
    <w:autoRedefine/>
    <w:qFormat/>
    <w:uiPriority w:val="9"/>
    <w:rPr>
      <w:b/>
      <w:bCs/>
      <w:kern w:val="44"/>
      <w:sz w:val="44"/>
      <w:szCs w:val="44"/>
    </w:rPr>
  </w:style>
  <w:style w:type="character" w:customStyle="1" w:styleId="15">
    <w:name w:val="Body Text Char"/>
    <w:basedOn w:val="11"/>
    <w:link w:val="2"/>
    <w:autoRedefine/>
    <w:semiHidden/>
    <w:qFormat/>
    <w:uiPriority w:val="99"/>
    <w:rPr>
      <w:szCs w:val="24"/>
    </w:rPr>
  </w:style>
  <w:style w:type="character" w:customStyle="1" w:styleId="16">
    <w:name w:val="Footer Char"/>
    <w:basedOn w:val="11"/>
    <w:link w:val="3"/>
    <w:autoRedefine/>
    <w:semiHidden/>
    <w:qFormat/>
    <w:uiPriority w:val="99"/>
    <w:rPr>
      <w:sz w:val="18"/>
      <w:szCs w:val="18"/>
    </w:rPr>
  </w:style>
  <w:style w:type="character" w:customStyle="1" w:styleId="17">
    <w:name w:val="Header Char"/>
    <w:basedOn w:val="11"/>
    <w:link w:val="6"/>
    <w:autoRedefine/>
    <w:semiHidden/>
    <w:qFormat/>
    <w:uiPriority w:val="99"/>
    <w:rPr>
      <w:sz w:val="18"/>
      <w:szCs w:val="18"/>
    </w:rPr>
  </w:style>
  <w:style w:type="paragraph" w:customStyle="1" w:styleId="18">
    <w:name w:val="列出段落1"/>
    <w:basedOn w:val="1"/>
    <w:autoRedefine/>
    <w:qFormat/>
    <w:uiPriority w:val="99"/>
    <w:pPr>
      <w:ind w:firstLine="420" w:firstLineChars="200"/>
    </w:pPr>
  </w:style>
  <w:style w:type="paragraph" w:customStyle="1" w:styleId="19">
    <w:name w:val="Default"/>
    <w:basedOn w:val="1"/>
    <w:autoRedefine/>
    <w:semiHidden/>
    <w:qFormat/>
    <w:uiPriority w:val="99"/>
    <w:pPr>
      <w:autoSpaceDE w:val="0"/>
      <w:autoSpaceDN w:val="0"/>
      <w:adjustRightInd w:val="0"/>
      <w:jc w:val="left"/>
    </w:pPr>
    <w:rPr>
      <w:rFonts w:ascii="方正仿宋_GBK" w:hAnsi="方正仿宋_GBK" w:cs="宋体"/>
      <w:color w:val="000000"/>
      <w:kern w:val="0"/>
      <w:sz w:val="24"/>
    </w:rPr>
  </w:style>
  <w:style w:type="paragraph" w:customStyle="1" w:styleId="20">
    <w:name w:val="列出段落11"/>
    <w:basedOn w:val="1"/>
    <w:autoRedefine/>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12</Pages>
  <Words>4767</Words>
  <Characters>5016</Characters>
  <Lines>0</Lines>
  <Paragraphs>0</Paragraphs>
  <TotalTime>1026</TotalTime>
  <ScaleCrop>false</ScaleCrop>
  <LinksUpToDate>false</LinksUpToDate>
  <CharactersWithSpaces>5124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2021-08-11T00:36:00Z</dcterms:created>
  <dc:creator>Administrator</dc:creator>
  <cp:lastModifiedBy>难得糊涂</cp:lastModifiedBy>
  <cp:lastPrinted>2025-12-19T07:16:50Z</cp:lastPrinted>
  <dcterms:modified xsi:type="dcterms:W3CDTF">2025-12-19T07:49:49Z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9D67FF1192B3494FBE73CB7F4A51E376_13</vt:lpwstr>
  </property>
  <property fmtid="{D5CDD505-2E9C-101B-9397-08002B2CF9AE}" pid="4" name="KSOTemplateDocerSaveRecord">
    <vt:lpwstr>eyJoZGlkIjoiZjUyN2FmMzY0ZTA2YzY5OGEyODVjYzVlNzJjNDAzMmQiLCJ1c2VySWQiOiIyOTA2MDE2NjIifQ==</vt:lpwstr>
  </property>
</Properties>
</file>