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0F7A8F">
      <w:pPr>
        <w:jc w:val="center"/>
        <w:rPr>
          <w:rFonts w:ascii="宋体"/>
          <w:b/>
          <w:bCs/>
          <w:sz w:val="44"/>
          <w:szCs w:val="44"/>
        </w:rPr>
      </w:pPr>
    </w:p>
    <w:p w14:paraId="229E5533">
      <w:pPr>
        <w:jc w:val="center"/>
        <w:rPr>
          <w:rFonts w:ascii="宋体"/>
          <w:b/>
          <w:bCs/>
          <w:sz w:val="44"/>
          <w:szCs w:val="44"/>
        </w:rPr>
      </w:pPr>
    </w:p>
    <w:p w14:paraId="61872BED">
      <w:pPr>
        <w:jc w:val="center"/>
        <w:rPr>
          <w:rFonts w:ascii="宋体"/>
          <w:b/>
          <w:bCs/>
          <w:sz w:val="44"/>
          <w:szCs w:val="44"/>
        </w:rPr>
      </w:pPr>
    </w:p>
    <w:p w14:paraId="12A1A203">
      <w:pPr>
        <w:jc w:val="center"/>
        <w:rPr>
          <w:rFonts w:ascii="宋体"/>
          <w:b/>
          <w:bCs/>
          <w:sz w:val="44"/>
          <w:szCs w:val="44"/>
        </w:rPr>
      </w:pPr>
    </w:p>
    <w:p w14:paraId="4ED437EA">
      <w:pPr>
        <w:jc w:val="center"/>
        <w:rPr>
          <w:rFonts w:ascii="宋体"/>
          <w:b/>
          <w:bCs/>
          <w:sz w:val="44"/>
          <w:szCs w:val="44"/>
        </w:rPr>
      </w:pPr>
    </w:p>
    <w:p w14:paraId="21C9178E">
      <w:pPr>
        <w:jc w:val="center"/>
        <w:rPr>
          <w:rFonts w:ascii="宋体"/>
          <w:b/>
          <w:bCs/>
          <w:sz w:val="44"/>
          <w:szCs w:val="44"/>
        </w:rPr>
      </w:pPr>
    </w:p>
    <w:p w14:paraId="082CC948">
      <w:pPr>
        <w:jc w:val="center"/>
        <w:rPr>
          <w:rFonts w:ascii="宋体"/>
          <w:sz w:val="32"/>
          <w:szCs w:val="32"/>
        </w:rPr>
      </w:pPr>
      <w:r>
        <w:rPr>
          <w:rFonts w:ascii="宋体"/>
          <w:sz w:val="32"/>
          <w:szCs w:val="32"/>
        </w:rPr>
        <w:t>涞农【202</w:t>
      </w:r>
      <w:r>
        <w:rPr>
          <w:rFonts w:hint="eastAsia" w:ascii="宋体"/>
          <w:sz w:val="32"/>
          <w:szCs w:val="32"/>
          <w:lang w:val="en-US" w:eastAsia="zh-CN"/>
        </w:rPr>
        <w:t>5</w:t>
      </w:r>
      <w:r>
        <w:rPr>
          <w:rFonts w:ascii="宋体"/>
          <w:sz w:val="32"/>
          <w:szCs w:val="32"/>
        </w:rPr>
        <w:t>】</w:t>
      </w:r>
      <w:r>
        <w:rPr>
          <w:rFonts w:hint="eastAsia" w:ascii="宋体"/>
          <w:sz w:val="32"/>
          <w:szCs w:val="32"/>
          <w:lang w:val="en-US" w:eastAsia="zh-CN"/>
        </w:rPr>
        <w:t>27</w:t>
      </w:r>
      <w:r>
        <w:rPr>
          <w:rFonts w:ascii="宋体"/>
          <w:sz w:val="32"/>
          <w:szCs w:val="32"/>
        </w:rPr>
        <w:t>号</w:t>
      </w:r>
    </w:p>
    <w:p w14:paraId="2E52D783">
      <w:pPr>
        <w:jc w:val="center"/>
        <w:rPr>
          <w:rFonts w:ascii="宋体"/>
          <w:b/>
          <w:bCs/>
          <w:sz w:val="44"/>
          <w:szCs w:val="44"/>
        </w:rPr>
      </w:pPr>
    </w:p>
    <w:p w14:paraId="70377F94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关于印发《202</w:t>
      </w:r>
      <w:r>
        <w:rPr>
          <w:rFonts w:hint="eastAsia" w:ascii="宋体"/>
          <w:b/>
          <w:bCs/>
          <w:sz w:val="44"/>
          <w:szCs w:val="44"/>
          <w:lang w:val="en-US" w:eastAsia="zh-CN"/>
        </w:rPr>
        <w:t>5</w:t>
      </w:r>
      <w:r>
        <w:rPr>
          <w:rFonts w:hint="eastAsia" w:ascii="宋体"/>
          <w:b/>
          <w:bCs/>
          <w:sz w:val="44"/>
          <w:szCs w:val="44"/>
        </w:rPr>
        <w:t>年涞源县农业农村局</w:t>
      </w:r>
    </w:p>
    <w:p w14:paraId="51E66FFD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“双随机、一公开”监管工作实施方案》的通知</w:t>
      </w:r>
    </w:p>
    <w:p w14:paraId="37C755FD">
      <w:pPr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各</w:t>
      </w:r>
      <w:r>
        <w:rPr>
          <w:rFonts w:ascii="仿宋" w:eastAsia="仿宋"/>
          <w:sz w:val="32"/>
          <w:szCs w:val="32"/>
        </w:rPr>
        <w:t>相关</w:t>
      </w:r>
      <w:r>
        <w:rPr>
          <w:rFonts w:hint="eastAsia" w:ascii="仿宋" w:eastAsia="仿宋"/>
          <w:sz w:val="32"/>
          <w:szCs w:val="32"/>
        </w:rPr>
        <w:t>股室：</w:t>
      </w:r>
    </w:p>
    <w:p w14:paraId="10443C39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现将《202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年涞源县农业农村局“双随机、一公开”监管工作实施方案》印发给你们，请结合本</w:t>
      </w:r>
      <w:r>
        <w:rPr>
          <w:rFonts w:ascii="仿宋" w:eastAsia="仿宋"/>
          <w:sz w:val="32"/>
          <w:szCs w:val="32"/>
        </w:rPr>
        <w:t>部门</w:t>
      </w:r>
      <w:r>
        <w:rPr>
          <w:rFonts w:hint="eastAsia" w:ascii="仿宋" w:eastAsia="仿宋"/>
          <w:sz w:val="32"/>
          <w:szCs w:val="32"/>
        </w:rPr>
        <w:t>实际，认真抓好落实。</w:t>
      </w:r>
    </w:p>
    <w:p w14:paraId="04E838B9">
      <w:pPr>
        <w:rPr>
          <w:rFonts w:hint="eastAsia" w:ascii="仿宋" w:eastAsia="仿宋"/>
          <w:sz w:val="32"/>
          <w:szCs w:val="32"/>
        </w:rPr>
      </w:pPr>
    </w:p>
    <w:p w14:paraId="30E438DD">
      <w:pPr>
        <w:rPr>
          <w:rFonts w:hint="eastAsia" w:ascii="仿宋" w:eastAsia="仿宋"/>
          <w:sz w:val="32"/>
          <w:szCs w:val="32"/>
        </w:rPr>
      </w:pPr>
    </w:p>
    <w:p w14:paraId="4D8D0BF6">
      <w:pPr>
        <w:rPr>
          <w:rFonts w:hint="eastAsia" w:ascii="仿宋" w:eastAsia="仿宋"/>
          <w:sz w:val="32"/>
          <w:szCs w:val="32"/>
        </w:rPr>
      </w:pPr>
    </w:p>
    <w:p w14:paraId="52488DDC">
      <w:pPr>
        <w:rPr>
          <w:rFonts w:hint="eastAsia" w:ascii="仿宋" w:eastAsia="仿宋"/>
          <w:sz w:val="32"/>
          <w:szCs w:val="32"/>
        </w:rPr>
      </w:pPr>
    </w:p>
    <w:p w14:paraId="56125A60">
      <w:pPr>
        <w:jc w:val="right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涞源县农业农村局</w:t>
      </w:r>
    </w:p>
    <w:p w14:paraId="0B525E54">
      <w:pPr>
        <w:jc w:val="right"/>
        <w:rPr>
          <w:rFonts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年</w:t>
      </w:r>
      <w:r>
        <w:rPr>
          <w:rFonts w:hint="eastAsia" w:asci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eastAsia="仿宋"/>
          <w:sz w:val="32"/>
          <w:szCs w:val="32"/>
        </w:rPr>
        <w:t>月31日</w:t>
      </w:r>
    </w:p>
    <w:p w14:paraId="0035778A">
      <w:pPr>
        <w:jc w:val="right"/>
        <w:rPr>
          <w:rFonts w:ascii="仿宋" w:eastAsia="仿宋"/>
          <w:sz w:val="32"/>
          <w:szCs w:val="32"/>
        </w:rPr>
      </w:pPr>
    </w:p>
    <w:p w14:paraId="085B3252">
      <w:pPr>
        <w:jc w:val="center"/>
        <w:rPr>
          <w:rFonts w:ascii="宋体"/>
          <w:sz w:val="44"/>
          <w:szCs w:val="44"/>
        </w:rPr>
      </w:pPr>
      <w:r>
        <w:rPr>
          <w:rFonts w:hint="eastAsia" w:ascii="宋体"/>
          <w:sz w:val="44"/>
          <w:szCs w:val="44"/>
        </w:rPr>
        <w:t>20</w:t>
      </w:r>
      <w:r>
        <w:rPr>
          <w:rFonts w:hint="eastAsia" w:ascii="宋体"/>
          <w:sz w:val="44"/>
          <w:szCs w:val="44"/>
          <w:lang w:val="en-US" w:eastAsia="zh-CN"/>
        </w:rPr>
        <w:t>25</w:t>
      </w:r>
      <w:r>
        <w:rPr>
          <w:rFonts w:hint="eastAsia" w:ascii="宋体"/>
          <w:sz w:val="44"/>
          <w:szCs w:val="44"/>
        </w:rPr>
        <w:t>年涞源县农业农村局</w:t>
      </w:r>
    </w:p>
    <w:p w14:paraId="56C92423">
      <w:pPr>
        <w:jc w:val="center"/>
        <w:rPr>
          <w:rFonts w:ascii="宋体"/>
          <w:sz w:val="44"/>
          <w:szCs w:val="44"/>
        </w:rPr>
      </w:pPr>
      <w:r>
        <w:rPr>
          <w:rFonts w:hint="eastAsia" w:ascii="宋体"/>
          <w:sz w:val="44"/>
          <w:szCs w:val="44"/>
        </w:rPr>
        <w:t>“双随机、一公开”监管工作实施方案</w:t>
      </w:r>
    </w:p>
    <w:p w14:paraId="2B681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为深入贯彻落实国家、省、市关于优化营商环境部署要求，持续深化“双随机、一公开”监管，提升监管效能，</w:t>
      </w:r>
      <w:r>
        <w:rPr>
          <w:rFonts w:hint="eastAsia" w:ascii="仿宋" w:eastAsia="仿宋"/>
          <w:sz w:val="32"/>
          <w:szCs w:val="32"/>
        </w:rPr>
        <w:t>持续强化“双随机、一公开”监管，提升监管效能，根据相关文件要求，结合本单位实际，制定本方案。</w:t>
      </w:r>
    </w:p>
    <w:p w14:paraId="1B4129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FF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工作思路</w:t>
      </w:r>
    </w:p>
    <w:p w14:paraId="3DB80E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持续深化部门联合抽查，进一步拓展“一业一查”部门联合模式，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着重做好“一业一查”精细化管理，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不断扩大部门联合随机抽查的覆盖面、占比率。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规范检查行为，回应经营主体和社会关切，有效防止多头检查、重复检查，避免随意、任性、运动式检查。</w:t>
      </w:r>
    </w:p>
    <w:p w14:paraId="303E4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二、主要工作任务</w:t>
      </w:r>
    </w:p>
    <w:p w14:paraId="3AA5F5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（一）开展跨部门“双随机”联合抽查。在开展农业行政执法检查时，推广“双随机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hint="eastAsia" w:ascii="仿宋" w:eastAsia="仿宋"/>
          <w:sz w:val="32"/>
          <w:szCs w:val="32"/>
        </w:rPr>
        <w:t>一公开”工作机制。建立随机抽取检查对象、随机选派执法人员的“双随机”抽查机制。通过“双随机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hint="eastAsia" w:ascii="仿宋" w:eastAsia="仿宋"/>
          <w:sz w:val="32"/>
          <w:szCs w:val="32"/>
        </w:rPr>
        <w:t>一公开”抽查信息系统的方式，随机抽取检查对象和执法检查人员，实现检查对象和执法检查人员之间的随机匹配。对抽查情况及处理结果，及时向社会公布。</w:t>
      </w:r>
    </w:p>
    <w:p w14:paraId="6A377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（二）</w:t>
      </w:r>
      <w:r>
        <w:rPr>
          <w:rFonts w:hint="eastAsia" w:ascii="仿宋" w:eastAsia="仿宋"/>
          <w:sz w:val="32"/>
          <w:szCs w:val="32"/>
          <w:lang w:val="en-US" w:eastAsia="zh-CN"/>
        </w:rPr>
        <w:t>认真梳理随机抽查事项清单。认真梳理我局对全县辖区内市场主体监管的执法事项，形成新的随机抽查事项清单，进一步明确事项名称、内容、抽查依据、抽查主体、抽查覆盖率，并</w:t>
      </w:r>
      <w:r>
        <w:rPr>
          <w:rFonts w:hint="eastAsia" w:ascii="仿宋" w:eastAsia="仿宋"/>
          <w:sz w:val="32"/>
          <w:szCs w:val="32"/>
        </w:rPr>
        <w:t>及时向社会公布，主动接受社会监督。</w:t>
      </w:r>
    </w:p>
    <w:p w14:paraId="424C3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  <w:lang w:val="en-US" w:eastAsia="zh-CN"/>
        </w:rPr>
      </w:pPr>
      <w:r>
        <w:rPr>
          <w:rFonts w:hint="eastAsia" w:ascii="仿宋" w:eastAsia="仿宋"/>
          <w:sz w:val="32"/>
          <w:szCs w:val="32"/>
        </w:rPr>
        <w:t>（三）</w:t>
      </w:r>
      <w:r>
        <w:rPr>
          <w:rFonts w:hint="eastAsia" w:ascii="仿宋" w:eastAsia="仿宋"/>
          <w:sz w:val="32"/>
          <w:szCs w:val="32"/>
          <w:lang w:val="en-US" w:eastAsia="zh-CN"/>
        </w:rPr>
        <w:t>制定抽查计划</w:t>
      </w:r>
      <w:r>
        <w:rPr>
          <w:rFonts w:hint="eastAsia" w:ascii="仿宋" w:eastAsia="仿宋"/>
          <w:sz w:val="32"/>
          <w:szCs w:val="32"/>
        </w:rPr>
        <w:t>。根据</w:t>
      </w:r>
      <w:r>
        <w:rPr>
          <w:rFonts w:hint="eastAsia" w:ascii="仿宋" w:eastAsia="仿宋"/>
          <w:sz w:val="32"/>
          <w:szCs w:val="32"/>
          <w:lang w:val="en-US" w:eastAsia="zh-CN"/>
        </w:rPr>
        <w:t>随机抽查事项清单所列执法事项，制定年度抽查工作计划，执法大队根据各自执法检查职责开展联合“双随机”抽查，明确抽查时间、内容、方式。</w:t>
      </w:r>
    </w:p>
    <w:p w14:paraId="7368C9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eastAsia="仿宋"/>
          <w:sz w:val="32"/>
          <w:szCs w:val="32"/>
          <w:lang w:val="en-US" w:eastAsia="zh-CN"/>
        </w:rPr>
      </w:pPr>
      <w:r>
        <w:rPr>
          <w:rFonts w:hint="eastAsia" w:ascii="仿宋" w:eastAsia="仿宋"/>
          <w:sz w:val="32"/>
          <w:szCs w:val="32"/>
          <w:lang w:eastAsia="zh-CN"/>
        </w:rPr>
        <w:t>（</w:t>
      </w:r>
      <w:r>
        <w:rPr>
          <w:rFonts w:hint="eastAsia" w:ascii="仿宋" w:eastAsia="仿宋"/>
          <w:sz w:val="32"/>
          <w:szCs w:val="32"/>
          <w:lang w:val="en-US" w:eastAsia="zh-CN"/>
        </w:rPr>
        <w:t>四）及时公开“双随机”抽查结果。各执法队开展随机抽查工作要做到有计划、有通知、有抽查记录、有公开，做到全程留痕，时实上传检查结果，确保随机抽查过程的公平、公正、公开和规范。同时及时做好抽查记录和工作台账归集工作。</w:t>
      </w:r>
      <w:bookmarkStart w:id="0" w:name="_GoBack"/>
      <w:bookmarkEnd w:id="0"/>
    </w:p>
    <w:p w14:paraId="7DA75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三、工作要求</w:t>
      </w:r>
    </w:p>
    <w:p w14:paraId="20B8E9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（一）</w:t>
      </w:r>
      <w:r>
        <w:rPr>
          <w:rFonts w:hint="eastAsia" w:ascii="仿宋" w:eastAsia="仿宋"/>
          <w:sz w:val="32"/>
          <w:szCs w:val="32"/>
          <w:lang w:val="en-US" w:eastAsia="zh-CN"/>
        </w:rPr>
        <w:t>提高思想认识。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充分认识全面深化“双随机、一公开”监管的重要意义，加强组织领导和统筹协调，健全工作制度和运行机制，细化工作目标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和推进举措，确保</w:t>
      </w:r>
      <w:r>
        <w:rPr>
          <w:rFonts w:hint="eastAsia" w:ascii="仿宋" w:eastAsia="仿宋"/>
          <w:sz w:val="32"/>
          <w:szCs w:val="32"/>
        </w:rPr>
        <w:t>“双随机”抽查监管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工作任务落到实处、取得实效，</w:t>
      </w:r>
    </w:p>
    <w:p w14:paraId="78135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（二）</w:t>
      </w:r>
      <w:r>
        <w:rPr>
          <w:rFonts w:hint="eastAsia" w:ascii="仿宋" w:eastAsia="仿宋"/>
          <w:sz w:val="32"/>
          <w:szCs w:val="32"/>
          <w:lang w:val="en-US" w:eastAsia="zh-CN"/>
        </w:rPr>
        <w:t>严格落实责任</w:t>
      </w:r>
      <w:r>
        <w:rPr>
          <w:rFonts w:hint="eastAsia" w:ascii="仿宋" w:eastAsia="仿宋"/>
          <w:sz w:val="32"/>
          <w:szCs w:val="32"/>
        </w:rPr>
        <w:t>。</w:t>
      </w:r>
      <w:r>
        <w:rPr>
          <w:rFonts w:hint="eastAsia" w:ascii="仿宋" w:eastAsia="仿宋"/>
          <w:sz w:val="32"/>
          <w:szCs w:val="32"/>
          <w:lang w:val="en-US" w:eastAsia="zh-CN"/>
        </w:rPr>
        <w:t>各执法队要增强责任意识，切实履行监管职责。严格按照抽查计划开展随机抽查工作，</w:t>
      </w:r>
      <w:r>
        <w:rPr>
          <w:rFonts w:hint="eastAsia" w:ascii="仿宋" w:eastAsia="仿宋"/>
          <w:sz w:val="32"/>
          <w:szCs w:val="32"/>
        </w:rPr>
        <w:t>明确具体工作任务、责任分工和时间进度要求，确保农业行政执法领域“双随机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hint="eastAsia" w:ascii="仿宋" w:eastAsia="仿宋"/>
          <w:sz w:val="32"/>
          <w:szCs w:val="32"/>
        </w:rPr>
        <w:t>一公开”工作各项工作任务按期完成 。</w:t>
      </w:r>
    </w:p>
    <w:p w14:paraId="322A2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马娟  卢霞</w:t>
      </w:r>
    </w:p>
    <w:p w14:paraId="5938E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联系电话：7321776</w:t>
      </w:r>
    </w:p>
    <w:p w14:paraId="23B4A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电子邮箱：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lynmjbgs@126.com</w:t>
      </w:r>
    </w:p>
    <w:p w14:paraId="10BB2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1C41395D"/>
    <w:rsid w:val="22E05265"/>
    <w:rsid w:val="231932E2"/>
    <w:rsid w:val="2BB2595C"/>
    <w:rsid w:val="33E800AC"/>
    <w:rsid w:val="345E0F3A"/>
    <w:rsid w:val="37F80919"/>
    <w:rsid w:val="3D4A5933"/>
    <w:rsid w:val="60E732E5"/>
    <w:rsid w:val="630B32EB"/>
    <w:rsid w:val="66B31978"/>
    <w:rsid w:val="67443859"/>
    <w:rsid w:val="6AF13D99"/>
    <w:rsid w:val="7DEC57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3</Pages>
  <Words>1026</Words>
  <Characters>1064</Characters>
  <Lines>73</Lines>
  <Paragraphs>20</Paragraphs>
  <TotalTime>27</TotalTime>
  <ScaleCrop>false</ScaleCrop>
  <LinksUpToDate>false</LinksUpToDate>
  <CharactersWithSpaces>1069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dh</cp:lastModifiedBy>
  <cp:lastPrinted>2025-04-07T01:09:00Z</cp:lastPrinted>
  <dcterms:modified xsi:type="dcterms:W3CDTF">2025-04-07T02:33:52Z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eyJoZGlkIjoiMTUyMWFhZThiMjU2MDk3NzcwMjVjZTY0M2Q4NDAxNWQifQ==</vt:lpwstr>
  </property>
  <property fmtid="{D5CDD505-2E9C-101B-9397-08002B2CF9AE}" pid="3" name="KSOProductBuildVer">
    <vt:lpwstr>2052-12.1.0.20784</vt:lpwstr>
  </property>
  <property fmtid="{D5CDD505-2E9C-101B-9397-08002B2CF9AE}" pid="4" name="ICV">
    <vt:lpwstr>C6E67FB5D8E742D2A3C84411D90A8BB1_12</vt:lpwstr>
  </property>
</Properties>
</file>