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CF0AAB">
      <w:pPr>
        <w:wordWrap w:val="0"/>
        <w:ind w:right="2"/>
        <w:jc w:val="center"/>
        <w:rPr>
          <w:rFonts w:hint="eastAsia" w:ascii="仿宋_GB2312" w:eastAsia="仿宋_GB2312"/>
          <w:color w:val="auto"/>
          <w:sz w:val="32"/>
          <w:szCs w:val="32"/>
        </w:rPr>
      </w:pPr>
      <w:bookmarkStart w:id="0" w:name="WENHAO"/>
      <w:r>
        <w:rPr>
          <w:rFonts w:hint="eastAsia" w:ascii="方正小标宋_GBK" w:hAnsi="方正小标宋_GBK" w:eastAsia="方正小标宋_GBK"/>
          <w:color w:val="FF0000"/>
          <w:w w:val="85"/>
          <w:sz w:val="94"/>
          <w:szCs w:val="9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846455</wp:posOffset>
                </wp:positionV>
                <wp:extent cx="5322570" cy="11430"/>
                <wp:effectExtent l="0" t="28575" r="11430" b="3619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22570" cy="11430"/>
                        </a:xfrm>
                        <a:prstGeom prst="line">
                          <a:avLst/>
                        </a:prstGeom>
                        <a:ln w="57150" cap="flat" cmpd="thickThin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pt;margin-top:66.65pt;height:0.9pt;width:419.1pt;z-index:251659264;mso-width-relative:page;mso-height-relative:page;" filled="f" stroked="t" coordsize="21600,21600" o:gfxdata="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BOMZvtkAAAAKAQAADwAAAAAAAAABACAAAAAiAAAA&#10;ZHJzL2Rvd25yZXYueG1sUEsBAhQAFAAAAAgAh07iQMexFNgGAgAA+QMAAA4AAAAAAAAAAQAgAAAA&#10;KAEAAGRycy9lMm9Eb2MueG1sUEsFBgAAAAAGAAYAWQEAAKAFAAAAAA==&#10;">
                <v:fill on="f" focussize="0,0"/>
                <v:stroke weight="4.5pt" color="#FF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小标宋_GBK" w:hAnsi="方正小标宋_GBK" w:eastAsia="方正小标宋_GBK"/>
          <w:color w:val="FF0000"/>
          <w:w w:val="85"/>
          <w:sz w:val="94"/>
          <w:szCs w:val="94"/>
          <w:lang w:eastAsia="zh-CN"/>
        </w:rPr>
        <w:t>涞源县</w:t>
      </w:r>
      <w:r>
        <w:rPr>
          <w:rFonts w:hint="eastAsia" w:ascii="方正小标宋_GBK" w:hAnsi="方正小标宋_GBK" w:eastAsia="方正小标宋_GBK"/>
          <w:color w:val="FF0000"/>
          <w:w w:val="85"/>
          <w:sz w:val="94"/>
          <w:szCs w:val="94"/>
        </w:rPr>
        <w:t>市场监督管理局</w:t>
      </w:r>
    </w:p>
    <w:p w14:paraId="5F6F4059">
      <w:pPr>
        <w:wordWrap w:val="0"/>
        <w:ind w:right="2"/>
        <w:jc w:val="right"/>
        <w:rPr>
          <w:rFonts w:hint="eastAsia"/>
          <w:color w:val="auto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涞市监函</w:t>
      </w:r>
      <w:r>
        <w:rPr>
          <w:rFonts w:hint="eastAsia" w:ascii="仿宋_GB2312" w:eastAsia="仿宋_GB2312"/>
          <w:color w:val="auto"/>
          <w:sz w:val="32"/>
          <w:szCs w:val="32"/>
        </w:rPr>
        <w:t>〔202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color w:val="auto"/>
          <w:sz w:val="32"/>
          <w:szCs w:val="32"/>
        </w:rPr>
        <w:t>〕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color w:val="auto"/>
          <w:sz w:val="32"/>
          <w:szCs w:val="32"/>
        </w:rPr>
        <w:t>号</w:t>
      </w:r>
      <w:bookmarkEnd w:id="0"/>
    </w:p>
    <w:p w14:paraId="0A9C6A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32CA86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snapToGrid w:val="0"/>
          <w:color w:val="000000"/>
          <w:spacing w:val="-4"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涞源县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市场监督管理局</w:t>
      </w:r>
    </w:p>
    <w:p w14:paraId="717F3A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关于印发202</w:t>
      </w:r>
      <w:r>
        <w:rPr>
          <w:rFonts w:hint="eastAsia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5</w:t>
      </w:r>
      <w:r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年</w:t>
      </w:r>
      <w:r>
        <w:rPr>
          <w:rFonts w:hint="eastAsia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涞源县</w:t>
      </w:r>
      <w:r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“双随机、一公开”</w:t>
      </w:r>
    </w:p>
    <w:p w14:paraId="73D56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监管工作实施方案</w:t>
      </w:r>
      <w:r>
        <w:rPr>
          <w:rFonts w:hint="eastAsia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和抽查工作计划</w:t>
      </w:r>
      <w:r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的</w:t>
      </w:r>
    </w:p>
    <w:p w14:paraId="4CDE12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spacing w:val="-4"/>
        </w:rPr>
      </w:pPr>
      <w:r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通</w:t>
      </w:r>
      <w:r>
        <w:rPr>
          <w:rFonts w:hint="eastAsia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 xml:space="preserve">    </w:t>
      </w:r>
      <w:r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知</w:t>
      </w:r>
    </w:p>
    <w:p w14:paraId="3A5015DA">
      <w:pPr>
        <w:pStyle w:val="3"/>
        <w:kinsoku w:val="0"/>
        <w:overflowPunct w:val="0"/>
        <w:ind w:left="0" w:firstLine="660" w:firstLineChars="200"/>
        <w:rPr>
          <w:rFonts w:hint="default" w:ascii="Times New Roman" w:hAnsi="Times New Roman" w:cs="Times New Roman"/>
          <w:sz w:val="33"/>
          <w:szCs w:val="33"/>
        </w:rPr>
      </w:pPr>
    </w:p>
    <w:p w14:paraId="37E95148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right="26" w:rightChars="11" w:firstLine="0" w:firstLineChars="0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w w:val="100"/>
          <w:sz w:val="32"/>
          <w:szCs w:val="32"/>
        </w:rPr>
      </w:pPr>
      <w:r>
        <w:rPr>
          <w:rFonts w:hint="eastAsia" w:ascii="Times New Roman" w:eastAsia="仿宋_GB2312" w:cs="Times New Roman"/>
          <w:kern w:val="2"/>
          <w:sz w:val="32"/>
          <w:szCs w:val="32"/>
          <w:lang w:val="en-US" w:eastAsia="zh-CN" w:bidi="ar-SA"/>
        </w:rPr>
        <w:t>各股、所、队，县直各有关部门</w:t>
      </w:r>
      <w:r>
        <w:rPr>
          <w:rFonts w:hint="default" w:ascii="Times New Roman" w:hAnsi="Times New Roman" w:eastAsia="仿宋_GB2312" w:cs="Times New Roman"/>
          <w:color w:val="auto"/>
        </w:rPr>
        <w:t>：</w:t>
      </w:r>
    </w:p>
    <w:p w14:paraId="22BB04BE">
      <w:pPr>
        <w:pStyle w:val="12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按照国家、省、市有关工作部署要求，为进一步推进“双随机、一公开”监管工作，我局制定了《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2025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年涞源县“双随机、一公开”监管工作实施方案》，并组织编制了本级各部门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2025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年“双随机、一公开”抽查工作计划，在此基础上汇总形成《涞源县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2025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年度随机抽查工作计划》，现印发给你们，请认真执行，并将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2025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年度抽查计划在相关门户网站上进行公示。</w:t>
      </w:r>
    </w:p>
    <w:p w14:paraId="306080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附件：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1.2025年</w:t>
      </w:r>
      <w:r>
        <w:rPr>
          <w:rFonts w:hint="eastAsia" w:eastAsia="仿宋_GB2312" w:cs="Times New Roman"/>
          <w:color w:val="000000"/>
          <w:sz w:val="32"/>
          <w:szCs w:val="32"/>
          <w:lang w:eastAsia="zh-CN"/>
        </w:rPr>
        <w:t>涞源县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“双随机、一公开”监管工作实施方案</w:t>
      </w:r>
    </w:p>
    <w:p w14:paraId="787AB01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1600" w:firstLineChars="5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>2.</w:t>
      </w:r>
      <w:r>
        <w:rPr>
          <w:rFonts w:hint="eastAsia" w:eastAsia="仿宋_GB2312" w:cs="Times New Roman"/>
          <w:color w:val="000000"/>
          <w:sz w:val="32"/>
          <w:szCs w:val="32"/>
          <w:lang w:eastAsia="zh-CN"/>
        </w:rPr>
        <w:t>涞源县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度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随机抽查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工作</w:t>
      </w:r>
    </w:p>
    <w:p w14:paraId="0DE9C2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3520" w:firstLineChars="1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</w:p>
    <w:p w14:paraId="497657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3520" w:firstLineChars="1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</w:p>
    <w:p w14:paraId="1AB446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3520" w:firstLineChars="1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</w:p>
    <w:p w14:paraId="42AB89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5440" w:firstLineChars="17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涞源县市场监督管理局</w:t>
      </w:r>
    </w:p>
    <w:p w14:paraId="036EE5D2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 xml:space="preserve">                                           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2025年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3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月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31</w:t>
      </w:r>
      <w:bookmarkStart w:id="1" w:name="_GoBack"/>
      <w:bookmarkEnd w:id="1"/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日</w:t>
      </w:r>
    </w:p>
    <w:p w14:paraId="6E9E381E"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1C50305A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59779D70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5CE2366F">
      <w:pPr>
        <w:ind w:firstLine="1728" w:firstLineChars="400"/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202</w:t>
      </w:r>
      <w:r>
        <w:rPr>
          <w:rFonts w:hint="eastAsia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5</w:t>
      </w:r>
      <w:r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年</w:t>
      </w:r>
      <w:r>
        <w:rPr>
          <w:rFonts w:hint="eastAsia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涞源县</w:t>
      </w:r>
      <w:r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“双随机、一公开”</w:t>
      </w:r>
    </w:p>
    <w:p w14:paraId="428F21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监管工作实施方案</w:t>
      </w:r>
    </w:p>
    <w:p w14:paraId="176001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60"/>
          <w:sz w:val="32"/>
          <w:szCs w:val="32"/>
        </w:rPr>
      </w:pPr>
    </w:p>
    <w:p w14:paraId="7A8601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>为深入贯彻落实国家、省、市关于优化营商环境部署要求，持续深化“双随机、一公开”监管，提升监管效能，根据《国务院关于在市场监管领域全面推行部门联合“双随机、一公开”监管的意见》（国发〔2019〕5号）、《国务院办公厅关于严格规范涉企行政检查的意见》（国办发〔2024〕54号）、《市场监管总局关于全面深化“双随机、一公开”监管规范涉企行政检查服务高质量发展的意见》（国市监信规〔2024〕5号）等文件要求，制定本方案。</w:t>
      </w:r>
    </w:p>
    <w:p w14:paraId="1B4129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FF0000"/>
          <w:kern w:val="6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60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color w:val="000000"/>
          <w:kern w:val="60"/>
          <w:sz w:val="32"/>
          <w:szCs w:val="32"/>
        </w:rPr>
        <w:t>工作思路</w:t>
      </w:r>
    </w:p>
    <w:p w14:paraId="6E52B6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 w:themeColor="text1"/>
          <w:kern w:val="6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  <w:t>（一）持续深化部门联合抽查，进一步拓展“一业一查”部门联合模式，</w:t>
      </w:r>
      <w:r>
        <w:rPr>
          <w:rFonts w:hint="eastAsia" w:ascii="仿宋_GB2312" w:hAnsi="仿宋_GB2312" w:eastAsia="仿宋_GB2312" w:cs="仿宋_GB2312"/>
          <w:color w:val="000000" w:themeColor="text1"/>
          <w:kern w:val="6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着重做好“一业一查”精细化管理，</w:t>
      </w:r>
      <w:r>
        <w:rPr>
          <w:rFonts w:hint="eastAsia" w:ascii="仿宋_GB2312" w:hAnsi="仿宋_GB2312" w:eastAsia="仿宋_GB2312" w:cs="仿宋_GB2312"/>
          <w:color w:val="000000" w:themeColor="text1"/>
          <w:kern w:val="6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不断扩大部门联合随机抽查的覆盖面、占比率，切实减少涉企检查频次</w:t>
      </w:r>
      <w:r>
        <w:rPr>
          <w:rFonts w:hint="eastAsia" w:ascii="仿宋_GB2312" w:hAnsi="仿宋_GB2312" w:eastAsia="仿宋_GB2312" w:cs="仿宋_GB2312"/>
          <w:color w:val="000000" w:themeColor="text1"/>
          <w:kern w:val="6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，形成保定品牌。在随机抽查后处理上求实效，及时组织对检查发现问题的后处理工作，依法依规调查处理，督促整改到位，提高发现问题立案率，形成监管闭环。</w:t>
      </w:r>
    </w:p>
    <w:p w14:paraId="5D3A75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  <w:t>）持续推进差异化抽查，巩固企业信用风险分类结果在“双随机、一公开”监管中常态化运用，结合投诉举报、舆情监测、风险预警等情形，进一步拓展、深化运用场景，提升监管执法效能。</w:t>
      </w:r>
    </w:p>
    <w:p w14:paraId="3DB80E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  <w:t>）进一步规范检查行为，回应经营主体和社会关切，有效防止多头检查、重复检查，避免随意、任性、运动式检查。</w:t>
      </w:r>
    </w:p>
    <w:p w14:paraId="59D5FE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kern w:val="6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60"/>
          <w:sz w:val="32"/>
          <w:szCs w:val="32"/>
        </w:rPr>
        <w:t>二、主要工作任务</w:t>
      </w:r>
    </w:p>
    <w:p w14:paraId="2D2FB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</w:rPr>
        <w:t>（一）夯实工作基础。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依托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/>
        </w:rPr>
        <w:t>河北省双随机执法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监管平台，持续完善“一单两库一指引”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</w:rPr>
        <w:t>。在省级部门调整完毕后，市级及以下有关部门要依据本级涉及的监管领域、“三定”方案中的监管职责及监管事权，对清单中的事项进行认领，形成本级的随机抽查事项清单。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要严格落实对行政检查实施主体“四个严禁”要求，动态调整检查对象名录库和执法检查人员名录库，确保“应纳尽纳”。依托升级后的标注体系，科学、准确地对检查对象和执法人员进行分类标注，实现对检查对象的精准抽取、执法人员的精准匹配。</w:t>
      </w:r>
      <w:r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  <w:lang w:val="en-US" w:eastAsia="zh-CN" w:bidi="ar-SA"/>
        </w:rPr>
        <w:t>（责任单位：各有关部门，完成时限：3月底前）</w:t>
      </w:r>
    </w:p>
    <w:p w14:paraId="3E55C00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  <w:lang w:val="en-US" w:eastAsia="zh-CN" w:bidi="ar-SA"/>
        </w:rPr>
        <w:t>（二）深化联合监管。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 w:bidi="ar-SA"/>
        </w:rPr>
        <w:t>强化部门内及部门间的协调联动，建立完善长效联合抽查工作机制，确保实现“能合并实施的不得重复检查、能联合实施的不得多头检查”。全面深化“一业一查”部门联合抽查模式。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  <w:lang w:val="en-US" w:eastAsia="zh-CN" w:bidi="ar-SA"/>
        </w:rPr>
        <w:t>各县直有关部门要以全省“一业一查”部门联合随机抽查事项清单为指导，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 w:bidi="ar-SA"/>
        </w:rPr>
        <w:t>充分结合本地监管实际组织开展本地“一业一查”部门联合随机抽查，并在实践中不断拓展范围、领域，在兼顾成本与效能的前提下，扩大部门联合随机抽查的覆盖面、占比率，确保本地区今年联合抽查次数占随机抽查总次数的比例不低于70%，部门联合抽查户数占随机抽查总户数的比例不低于50%，推动部门联合抽查常态化，切实压减涉企检查频次，在确保监管效能的前提下不断减少对企业正常经营活动的干扰。</w:t>
      </w:r>
      <w:r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  <w:lang w:val="en-US" w:eastAsia="zh-CN" w:bidi="ar-SA"/>
        </w:rPr>
        <w:t>（责任单位：各有关部门，完成时限：全年）</w:t>
      </w:r>
    </w:p>
    <w:p w14:paraId="675EC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</w:rPr>
        <w:t>（三）规范实施检查。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严格计划实施。要结合工作实际，科学合理制定年度抽查工作计划，及时向社会公开，并严格按照年度抽查工作计划实施。对未列入年度抽查计划但实际工作中需要开展的抽查，或已列入但需要调整的抽查，严格履行相关工作程序，及时调整并公示后方可开展。严格工作流程。要认真落实《河北省双随机工作规范》要求，防止在任务制定、开展检查、结果录入、审核公示等工作环节出现超时违规问题。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</w:rPr>
        <w:t>严格“扫码入企”。在省司法厅执法终端上线赋码功能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  <w:lang w:val="en-US" w:eastAsia="zh-CN"/>
        </w:rPr>
        <w:t>以后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</w:rPr>
        <w:t>，根据省司法厅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</w:rPr>
        <w:t>统一安排，进一步规范各级各部门执法人员入企检查行为。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严格闭环监管。要健全随机抽查后续处置机制，规范问题线索的转办、移送等工作，按照“谁监管、谁负责”的原则实施后续监管，实现监管闭环。加强与信用监管的衔接，加大对抽查发现的违法失信行为的信用惩戒力度，实施联合惩戒，增强随机抽查的震慑力。</w:t>
      </w:r>
      <w:r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  <w:lang w:val="en-US" w:eastAsia="zh-CN" w:bidi="ar-SA"/>
        </w:rPr>
        <w:t>（责任单位：各有关部门，完成时限：全年）</w:t>
      </w:r>
    </w:p>
    <w:p w14:paraId="1BB3907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  <w:lang w:val="en-US" w:eastAsia="zh-CN" w:bidi="ar-SA"/>
        </w:rPr>
        <w:t>（四）提升监管效能。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 w:bidi="ar-SA"/>
        </w:rPr>
        <w:t>要强化双随机抽查与信用风险分级分类相结合，针对不同的信用风险分类等级合理确定抽查比例和频次，运用信用风险分级分类开展的抽查次数占抽查总次数的比例达到100%。充分利用信息化手段，通过大数据分析、重点指标监测等手段，强化风险监测预警，实现双随机与触发式监管的整合，有效推动监管关口前移。严格落实查前准备和查前业务培训等工作制度，切实提高检查的针对性和执法人员的业务能力，提升抽查检查质效。</w:t>
      </w:r>
      <w:r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  <w:lang w:val="en-US" w:eastAsia="zh-CN" w:bidi="ar-SA"/>
        </w:rPr>
        <w:t>（责任单位：各有关部门，完成时限：全年）</w:t>
      </w:r>
    </w:p>
    <w:p w14:paraId="1C5B0B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</w:rPr>
        <w:t>（五）强化服务意识。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要牢固树立寓服务于监管之中的理念，大力推行服务型执法，在抽查检查过程中要开展相关法律法规政策宣教、合规经营指导，并及时回应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/>
        </w:rPr>
        <w:t>经营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主体有关问题及诉求。要大力推广非现场检查，针对相关监管领域、特定监管对象或抽查事项能通过书面核查、信息共享、网络监测、视频检查等方式监管的，不得入企实施现场检查，压缩现场检查频次，减轻企业负担。</w:t>
      </w:r>
      <w:r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</w:rPr>
        <w:t>（责任单位：各有关部门，完成时限：全年）</w:t>
      </w:r>
    </w:p>
    <w:p w14:paraId="093E92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kern w:val="6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60"/>
          <w:sz w:val="32"/>
          <w:szCs w:val="32"/>
        </w:rPr>
        <w:t>三、工作要求</w:t>
      </w:r>
    </w:p>
    <w:p w14:paraId="6730A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  <w:lang w:val="en-US" w:eastAsia="zh-CN" w:bidi="ar-SA"/>
        </w:rPr>
        <w:t>（一）提高思想认识，加强组织领导。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</w:rPr>
        <w:t>全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  <w:lang w:val="en-US" w:eastAsia="zh-CN"/>
        </w:rPr>
        <w:t>县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</w:rPr>
        <w:t>各有关部门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要充分认识全面深化“双随机、一公开”监管的重要意义，加强组织领导和统筹协调，健全工作制度和运行机制，细化工作目标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和推进举措，确保工作任务落到实处、取得实效，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为全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  <w:lang w:val="en-US" w:eastAsia="zh-CN"/>
        </w:rPr>
        <w:t>县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进一步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优化营商环境、推进经营主体高质量发展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val="en-US" w:eastAsia="zh-CN"/>
        </w:rPr>
        <w:t>发挥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应有作用。</w:t>
      </w:r>
    </w:p>
    <w:p w14:paraId="23DB02E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6" w:right="119" w:firstLine="629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  <w:lang w:val="en-US" w:eastAsia="zh-CN" w:bidi="ar-SA"/>
        </w:rPr>
        <w:t>（二）认真履职尽责，积极主动作为。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  <w:lang w:eastAsia="zh-CN"/>
        </w:rPr>
        <w:t>我局会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积极发挥牵头抓总作用，调动各方积极性，凝聚各方力量，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持续在工作机制、组织协调、推进落实上下功夫。各有关部门要切实落实主体责任，打破惯性思维，强化大局意识，认真履职尽责，积极主动开展工作，牢固树立“一盘棋”思想，相互支</w:t>
      </w:r>
      <w:r>
        <w:rPr>
          <w:rFonts w:hint="eastAsia" w:ascii="仿宋_GB2312" w:hAnsi="仿宋_GB2312" w:eastAsia="仿宋_GB2312" w:cs="仿宋_GB2312"/>
          <w:spacing w:val="9"/>
          <w:sz w:val="32"/>
          <w:szCs w:val="32"/>
        </w:rPr>
        <w:t>持、密切配合、协同促进，合力推进各项工作任务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</w:rPr>
        <w:t>落实。</w:t>
      </w:r>
    </w:p>
    <w:p w14:paraId="025BC8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6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</w:rPr>
        <w:t>（三）落实主体责任，强化指导监管。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</w:rPr>
        <w:t>各有关部门要强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化对随机抽查工作全流程的管控，积极推行随机抽查回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访机制，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在着力提升随机抽查工作效能上做文章。同时，各部门要切实压实规范管理责任，严格按照《国务院办公厅关于严格规范涉企行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政检查的意见》（国办发〔2024〕54号）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中“五个严禁”、“八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个不得”的要求开展抽查，防止企业反映强烈、社会影响恶劣事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件的发生。</w:t>
      </w:r>
    </w:p>
    <w:p w14:paraId="170D1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联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系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人：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段媛媛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 王双双</w:t>
      </w:r>
    </w:p>
    <w:p w14:paraId="3FA8E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联系电话：7314851</w:t>
      </w:r>
    </w:p>
    <w:p w14:paraId="4371A989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26" w:rightChars="11" w:firstLine="640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电子邮箱：</w:t>
      </w:r>
      <w:r>
        <w:rPr>
          <w:rFonts w:hint="eastAsia" w:ascii="仿宋_GB2312" w:hAnsi="仿宋_GB2312" w:eastAsia="仿宋_GB2312" w:cs="仿宋_GB2312"/>
          <w:color w:val="auto"/>
          <w:u w:val="none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u w:val="none"/>
        </w:rPr>
        <w:instrText xml:space="preserve"> HYPERLINK "mailto:gbdshuangsuiji@163.com" </w:instrText>
      </w:r>
      <w:r>
        <w:rPr>
          <w:rFonts w:hint="eastAsia" w:ascii="仿宋_GB2312" w:hAnsi="仿宋_GB2312" w:eastAsia="仿宋_GB2312" w:cs="仿宋_GB2312"/>
          <w:color w:val="auto"/>
          <w:u w:val="none"/>
        </w:rPr>
        <w:fldChar w:fldCharType="separate"/>
      </w:r>
      <w:r>
        <w:rPr>
          <w:rStyle w:val="11"/>
          <w:rFonts w:hint="eastAsia" w:ascii="仿宋_GB2312" w:hAnsi="仿宋_GB2312" w:eastAsia="仿宋_GB2312" w:cs="仿宋_GB2312"/>
          <w:color w:val="auto"/>
          <w:u w:val="none"/>
          <w:lang w:val="en-US" w:eastAsia="zh-CN"/>
        </w:rPr>
        <w:t>lyqjk2013</w:t>
      </w:r>
      <w:r>
        <w:rPr>
          <w:rStyle w:val="11"/>
          <w:rFonts w:hint="eastAsia" w:ascii="仿宋_GB2312" w:hAnsi="仿宋_GB2312" w:eastAsia="仿宋_GB2312" w:cs="仿宋_GB2312"/>
          <w:color w:val="auto"/>
          <w:u w:val="none"/>
        </w:rPr>
        <w:t>@1</w:t>
      </w:r>
      <w:r>
        <w:rPr>
          <w:rStyle w:val="11"/>
          <w:rFonts w:hint="eastAsia" w:ascii="仿宋_GB2312" w:hAnsi="仿宋_GB2312" w:eastAsia="仿宋_GB2312" w:cs="仿宋_GB2312"/>
          <w:color w:val="auto"/>
          <w:u w:val="none"/>
          <w:lang w:val="en-US" w:eastAsia="zh-CN"/>
        </w:rPr>
        <w:t>26</w:t>
      </w:r>
      <w:r>
        <w:rPr>
          <w:rStyle w:val="11"/>
          <w:rFonts w:hint="eastAsia" w:ascii="仿宋_GB2312" w:hAnsi="仿宋_GB2312" w:eastAsia="仿宋_GB2312" w:cs="仿宋_GB2312"/>
          <w:color w:val="auto"/>
          <w:u w:val="none"/>
        </w:rPr>
        <w:t>.com</w:t>
      </w:r>
      <w:r>
        <w:rPr>
          <w:rStyle w:val="11"/>
          <w:rFonts w:hint="eastAsia" w:ascii="仿宋_GB2312" w:hAnsi="仿宋_GB2312" w:eastAsia="仿宋_GB2312" w:cs="仿宋_GB2312"/>
          <w:color w:val="auto"/>
          <w:u w:val="none"/>
        </w:rPr>
        <w:fldChar w:fldCharType="end"/>
      </w:r>
    </w:p>
    <w:p w14:paraId="38758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62BE60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60"/>
          <w:sz w:val="32"/>
          <w:szCs w:val="32"/>
        </w:rPr>
      </w:pPr>
    </w:p>
    <w:p w14:paraId="2CBA56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483FFB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5E380E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附件：</w:t>
      </w:r>
      <w:r>
        <w:rPr>
          <w:rFonts w:hint="eastAsia" w:eastAsia="仿宋_GB2312" w:cs="Times New Roman"/>
          <w:color w:val="000000"/>
          <w:sz w:val="32"/>
          <w:szCs w:val="32"/>
          <w:lang w:eastAsia="zh-CN"/>
        </w:rPr>
        <w:t>县直</w:t>
      </w: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>有关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部门“双随机、一公开”监管工作月报表</w:t>
      </w:r>
    </w:p>
    <w:p w14:paraId="43564420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6B98640B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4CB30482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25761A80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1D745D52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582EC3F5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3EA76068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56BDF0E7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4836A9D7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snapToGrid w:val="0"/>
          <w:color w:val="000000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  <w:t>附件</w:t>
      </w:r>
    </w:p>
    <w:p w14:paraId="0AD4C374">
      <w:pPr>
        <w:kinsoku w:val="0"/>
        <w:autoSpaceDE w:val="0"/>
        <w:autoSpaceDN w:val="0"/>
        <w:adjustRightInd w:val="0"/>
        <w:snapToGrid w:val="0"/>
        <w:spacing w:before="384" w:line="329" w:lineRule="auto"/>
        <w:ind w:right="408"/>
        <w:jc w:val="center"/>
        <w:textAlignment w:val="baseline"/>
        <w:rPr>
          <w:rFonts w:ascii="方正小标宋_GBK" w:hAnsi="方正小标宋_GBK" w:eastAsia="方正小标宋_GBK" w:cs="方正小标宋_GBK"/>
          <w:snapToGrid w:val="0"/>
          <w:color w:val="000000"/>
          <w:spacing w:val="27"/>
          <w:kern w:val="0"/>
          <w:sz w:val="43"/>
          <w:szCs w:val="43"/>
          <w:lang w:val="en-US" w:eastAsia="en-US" w:bidi="ar-SA"/>
        </w:rPr>
      </w:pPr>
      <w:r>
        <w:rPr>
          <w:rFonts w:hint="eastAsia" w:ascii="方正小标宋_GBK" w:hAnsi="方正小标宋_GBK" w:eastAsia="方正小标宋_GBK" w:cs="方正小标宋_GBK"/>
          <w:snapToGrid w:val="0"/>
          <w:color w:val="000000"/>
          <w:spacing w:val="-20"/>
          <w:w w:val="96"/>
          <w:kern w:val="0"/>
          <w:sz w:val="40"/>
          <w:szCs w:val="40"/>
          <w:lang w:val="en-US" w:eastAsia="zh-CN" w:bidi="ar-SA"/>
        </w:rPr>
        <w:t>县直</w:t>
      </w:r>
      <w:r>
        <w:rPr>
          <w:rFonts w:ascii="方正小标宋_GBK" w:hAnsi="方正小标宋_GBK" w:eastAsia="方正小标宋_GBK" w:cs="方正小标宋_GBK"/>
          <w:snapToGrid w:val="0"/>
          <w:color w:val="000000"/>
          <w:spacing w:val="-20"/>
          <w:w w:val="96"/>
          <w:kern w:val="0"/>
          <w:sz w:val="40"/>
          <w:szCs w:val="40"/>
          <w:lang w:val="en-US" w:eastAsia="en-US" w:bidi="ar-SA"/>
        </w:rPr>
        <w:t>有关部门“双随机、一公开”监管工作月报表</w:t>
      </w:r>
      <w:r>
        <w:rPr>
          <w:rFonts w:ascii="方正小标宋_GBK" w:hAnsi="方正小标宋_GBK" w:eastAsia="方正小标宋_GBK" w:cs="方正小标宋_GBK"/>
          <w:snapToGrid w:val="0"/>
          <w:color w:val="000000"/>
          <w:spacing w:val="27"/>
          <w:kern w:val="0"/>
          <w:sz w:val="40"/>
          <w:szCs w:val="40"/>
          <w:lang w:val="en-US" w:eastAsia="en-US" w:bidi="ar-SA"/>
        </w:rPr>
        <w:t xml:space="preserve"> </w:t>
      </w:r>
      <w:r>
        <w:rPr>
          <w:rFonts w:ascii="方正小标宋_GBK" w:hAnsi="方正小标宋_GBK" w:eastAsia="方正小标宋_GBK" w:cs="方正小标宋_GBK"/>
          <w:snapToGrid w:val="0"/>
          <w:color w:val="000000"/>
          <w:spacing w:val="27"/>
          <w:kern w:val="0"/>
          <w:sz w:val="43"/>
          <w:szCs w:val="43"/>
          <w:lang w:val="en-US" w:eastAsia="en-US" w:bidi="ar-SA"/>
        </w:rPr>
        <w:t xml:space="preserve"> </w:t>
      </w:r>
    </w:p>
    <w:p w14:paraId="6A72C52A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29" w:lineRule="auto"/>
        <w:ind w:right="408"/>
        <w:jc w:val="center"/>
        <w:textAlignment w:val="baseline"/>
        <w:rPr>
          <w:rFonts w:ascii="FangSong_GB2312" w:hAnsi="FangSong_GB2312" w:eastAsia="FangSong_GB2312" w:cs="FangSong_GB2312"/>
          <w:snapToGrid w:val="0"/>
          <w:color w:val="000000"/>
          <w:kern w:val="0"/>
          <w:sz w:val="30"/>
          <w:szCs w:val="30"/>
          <w:lang w:val="en-US" w:eastAsia="en-US" w:bidi="ar-SA"/>
        </w:rPr>
      </w:pP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lang w:val="en-US" w:eastAsia="en-US" w:bidi="ar-SA"/>
        </w:rPr>
        <w:t>单位名称（盖章</w:t>
      </w:r>
      <w:r>
        <w:rPr>
          <w:rFonts w:ascii="FangSong_GB2312" w:hAnsi="FangSong_GB2312" w:eastAsia="FangSong_GB2312" w:cs="FangSong_GB2312"/>
          <w:snapToGrid w:val="0"/>
          <w:color w:val="000000"/>
          <w:spacing w:val="-72"/>
          <w:kern w:val="0"/>
          <w:sz w:val="30"/>
          <w:szCs w:val="30"/>
          <w:lang w:val="en-US" w:eastAsia="en-US" w:bidi="ar-SA"/>
        </w:rPr>
        <w:t>）：</w:t>
      </w:r>
      <w:r>
        <w:rPr>
          <w:rFonts w:ascii="FangSong_GB2312" w:hAnsi="FangSong_GB2312" w:eastAsia="FangSong_GB2312" w:cs="FangSong_GB2312"/>
          <w:snapToGrid w:val="0"/>
          <w:color w:val="000000"/>
          <w:spacing w:val="11"/>
          <w:kern w:val="0"/>
          <w:sz w:val="30"/>
          <w:szCs w:val="30"/>
          <w:u w:val="single" w:color="auto"/>
          <w:lang w:val="en-US" w:eastAsia="en-US" w:bidi="ar-SA"/>
        </w:rPr>
        <w:t xml:space="preserve">            </w:t>
      </w:r>
      <w:r>
        <w:rPr>
          <w:rFonts w:ascii="FangSong_GB2312" w:hAnsi="FangSong_GB2312" w:eastAsia="FangSong_GB2312" w:cs="FangSong_GB2312"/>
          <w:snapToGrid w:val="0"/>
          <w:color w:val="000000"/>
          <w:spacing w:val="19"/>
          <w:kern w:val="0"/>
          <w:sz w:val="30"/>
          <w:szCs w:val="30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lang w:val="en-US" w:eastAsia="en-US" w:bidi="ar-SA"/>
        </w:rPr>
        <w:t>填表时间：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u w:val="single" w:color="auto"/>
          <w:lang w:val="en-US" w:eastAsia="en-US" w:bidi="ar-SA"/>
        </w:rPr>
        <w:t xml:space="preserve">    </w:t>
      </w:r>
      <w:r>
        <w:rPr>
          <w:rFonts w:ascii="FangSong_GB2312" w:hAnsi="FangSong_GB2312" w:eastAsia="FangSong_GB2312" w:cs="FangSong_GB2312"/>
          <w:snapToGrid w:val="0"/>
          <w:color w:val="000000"/>
          <w:spacing w:val="-135"/>
          <w:kern w:val="0"/>
          <w:sz w:val="30"/>
          <w:szCs w:val="30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lang w:val="en-US" w:eastAsia="en-US" w:bidi="ar-SA"/>
        </w:rPr>
        <w:t>年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u w:val="single" w:color="auto"/>
          <w:lang w:val="en-US" w:eastAsia="en-US" w:bidi="ar-SA"/>
        </w:rPr>
        <w:t xml:space="preserve">   </w:t>
      </w:r>
      <w:r>
        <w:rPr>
          <w:rFonts w:ascii="FangSong_GB2312" w:hAnsi="FangSong_GB2312" w:eastAsia="FangSong_GB2312" w:cs="FangSong_GB2312"/>
          <w:snapToGrid w:val="0"/>
          <w:color w:val="000000"/>
          <w:spacing w:val="-122"/>
          <w:kern w:val="0"/>
          <w:sz w:val="30"/>
          <w:szCs w:val="30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lang w:val="en-US" w:eastAsia="en-US" w:bidi="ar-SA"/>
        </w:rPr>
        <w:t>月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u w:val="single" w:color="auto"/>
          <w:lang w:val="en-US" w:eastAsia="en-US" w:bidi="ar-SA"/>
        </w:rPr>
        <w:t xml:space="preserve">   </w:t>
      </w:r>
      <w:r>
        <w:rPr>
          <w:rFonts w:ascii="FangSong_GB2312" w:hAnsi="FangSong_GB2312" w:eastAsia="FangSong_GB2312" w:cs="FangSong_GB2312"/>
          <w:snapToGrid w:val="0"/>
          <w:color w:val="000000"/>
          <w:spacing w:val="-81"/>
          <w:kern w:val="0"/>
          <w:sz w:val="30"/>
          <w:szCs w:val="30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lang w:val="en-US" w:eastAsia="en-US" w:bidi="ar-SA"/>
        </w:rPr>
        <w:t>日</w:t>
      </w:r>
    </w:p>
    <w:tbl>
      <w:tblPr>
        <w:tblStyle w:val="23"/>
        <w:tblW w:w="936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17"/>
        <w:gridCol w:w="4801"/>
        <w:gridCol w:w="2448"/>
      </w:tblGrid>
      <w:tr w14:paraId="4178FC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695" w:hRule="atLeast"/>
        </w:trPr>
        <w:tc>
          <w:tcPr>
            <w:tcW w:w="2117" w:type="dxa"/>
            <w:vMerge w:val="restart"/>
            <w:tcBorders>
              <w:bottom w:val="nil"/>
            </w:tcBorders>
            <w:vAlign w:val="top"/>
          </w:tcPr>
          <w:p w14:paraId="07E64BB2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39A2B645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09659D6B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63607EA9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3785BC19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1B7CE72E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1D744DBC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704A1D1C">
            <w:pPr>
              <w:widowControl/>
              <w:kinsoku w:val="0"/>
              <w:snapToGrid w:val="0"/>
              <w:spacing w:before="91" w:line="235" w:lineRule="auto"/>
              <w:ind w:left="115" w:right="106"/>
              <w:jc w:val="both"/>
              <w:textAlignment w:val="baseline"/>
              <w:rPr>
                <w:rFonts w:ascii="黑体" w:hAnsi="黑体" w:eastAsia="黑体" w:cs="黑体"/>
                <w:snapToGrid w:val="0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黑体" w:hAnsi="黑体" w:eastAsia="黑体" w:cs="黑体"/>
                <w:snapToGrid w:val="0"/>
                <w:color w:val="000000"/>
                <w:spacing w:val="34"/>
                <w:sz w:val="28"/>
                <w:szCs w:val="28"/>
                <w:lang w:eastAsia="en-US"/>
              </w:rPr>
              <w:t>通过河北双随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4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34"/>
                <w:sz w:val="28"/>
                <w:szCs w:val="28"/>
                <w:lang w:eastAsia="en-US"/>
              </w:rPr>
              <w:t>机执法监管平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2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34"/>
                <w:sz w:val="28"/>
                <w:szCs w:val="28"/>
                <w:lang w:eastAsia="en-US"/>
              </w:rPr>
              <w:t>台开展抽查情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4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黑体" w:hAnsi="黑体" w:eastAsia="黑体" w:cs="黑体"/>
                <w:snapToGrid w:val="0"/>
                <w:color w:val="000000"/>
                <w:sz w:val="28"/>
                <w:szCs w:val="28"/>
                <w:lang w:eastAsia="en-US"/>
              </w:rPr>
              <w:t>况</w:t>
            </w:r>
          </w:p>
        </w:tc>
        <w:tc>
          <w:tcPr>
            <w:tcW w:w="4801" w:type="dxa"/>
            <w:vAlign w:val="top"/>
          </w:tcPr>
          <w:p w14:paraId="506D6B92">
            <w:pPr>
              <w:widowControl/>
              <w:kinsoku w:val="0"/>
              <w:snapToGrid w:val="0"/>
              <w:spacing w:line="433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59DF10A5">
            <w:pPr>
              <w:kinsoku w:val="0"/>
              <w:autoSpaceDE w:val="0"/>
              <w:autoSpaceDN w:val="0"/>
              <w:adjustRightInd w:val="0"/>
              <w:snapToGrid w:val="0"/>
              <w:spacing w:before="91" w:line="228" w:lineRule="auto"/>
              <w:ind w:left="111" w:right="105" w:firstLine="12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en-US" w:bidi="ar-SA"/>
              </w:rPr>
              <w:t xml:space="preserve">本级开展内部随机抽查次数、户数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1"/>
                <w:kern w:val="0"/>
                <w:sz w:val="28"/>
                <w:szCs w:val="28"/>
                <w:lang w:val="en-US" w:eastAsia="en-US" w:bidi="ar-SA"/>
              </w:rPr>
              <w:t>及发现问题户数</w:t>
            </w:r>
          </w:p>
        </w:tc>
        <w:tc>
          <w:tcPr>
            <w:tcW w:w="2448" w:type="dxa"/>
            <w:vAlign w:val="top"/>
          </w:tcPr>
          <w:p w14:paraId="28E623CB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14:paraId="1ACC9F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0" w:hRule="atLeast"/>
        </w:trPr>
        <w:tc>
          <w:tcPr>
            <w:tcW w:w="2117" w:type="dxa"/>
            <w:vMerge w:val="continue"/>
            <w:tcBorders>
              <w:top w:val="nil"/>
              <w:bottom w:val="nil"/>
            </w:tcBorders>
            <w:vAlign w:val="top"/>
          </w:tcPr>
          <w:p w14:paraId="1B2AEEA9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01" w:type="dxa"/>
            <w:vAlign w:val="top"/>
          </w:tcPr>
          <w:p w14:paraId="2BB77157">
            <w:pPr>
              <w:widowControl/>
              <w:kinsoku w:val="0"/>
              <w:snapToGrid w:val="0"/>
              <w:spacing w:line="247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262FD518">
            <w:pPr>
              <w:widowControl/>
              <w:kinsoku w:val="0"/>
              <w:snapToGrid w:val="0"/>
              <w:spacing w:line="247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5D8048EF">
            <w:pPr>
              <w:kinsoku w:val="0"/>
              <w:autoSpaceDE w:val="0"/>
              <w:autoSpaceDN w:val="0"/>
              <w:adjustRightInd w:val="0"/>
              <w:snapToGrid w:val="0"/>
              <w:spacing w:before="91" w:line="228" w:lineRule="auto"/>
              <w:ind w:left="122" w:right="102" w:firstLine="1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24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24"/>
                <w:kern w:val="0"/>
                <w:sz w:val="28"/>
                <w:szCs w:val="28"/>
                <w:lang w:val="en-US" w:eastAsia="en-US" w:bidi="ar-SA"/>
              </w:rPr>
              <w:t>本级开展跨部门联合随机抽查次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8"/>
                <w:kern w:val="0"/>
                <w:sz w:val="28"/>
                <w:szCs w:val="28"/>
                <w:lang w:val="en-US" w:eastAsia="en-US" w:bidi="ar-SA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2"/>
                <w:kern w:val="0"/>
                <w:sz w:val="28"/>
                <w:szCs w:val="28"/>
                <w:lang w:val="en-US" w:eastAsia="en-US" w:bidi="ar-SA"/>
              </w:rPr>
              <w:t>数、户数及发现问题户数</w:t>
            </w:r>
          </w:p>
        </w:tc>
        <w:tc>
          <w:tcPr>
            <w:tcW w:w="2448" w:type="dxa"/>
            <w:vAlign w:val="top"/>
          </w:tcPr>
          <w:p w14:paraId="31513DCD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14:paraId="6E73DC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9" w:hRule="atLeast"/>
        </w:trPr>
        <w:tc>
          <w:tcPr>
            <w:tcW w:w="2117" w:type="dxa"/>
            <w:vMerge w:val="continue"/>
            <w:tcBorders>
              <w:top w:val="nil"/>
            </w:tcBorders>
            <w:vAlign w:val="top"/>
          </w:tcPr>
          <w:p w14:paraId="60229400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01" w:type="dxa"/>
            <w:vAlign w:val="top"/>
          </w:tcPr>
          <w:p w14:paraId="41481D66">
            <w:pPr>
              <w:widowControl/>
              <w:kinsoku w:val="0"/>
              <w:snapToGrid w:val="0"/>
              <w:spacing w:line="35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1947DC58">
            <w:pPr>
              <w:kinsoku w:val="0"/>
              <w:autoSpaceDE w:val="0"/>
              <w:autoSpaceDN w:val="0"/>
              <w:adjustRightInd w:val="0"/>
              <w:snapToGrid w:val="0"/>
              <w:spacing w:before="91" w:line="227" w:lineRule="auto"/>
              <w:ind w:left="113" w:right="105" w:firstLine="10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en-US" w:bidi="ar-SA"/>
              </w:rPr>
              <w:t xml:space="preserve">本级利用信用风险分级分类开展随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1"/>
                <w:kern w:val="0"/>
                <w:sz w:val="28"/>
                <w:szCs w:val="28"/>
                <w:lang w:val="en-US" w:eastAsia="en-US" w:bidi="ar-SA"/>
              </w:rPr>
              <w:t>机抽查的次数、户数及发现问题户数</w:t>
            </w:r>
          </w:p>
        </w:tc>
        <w:tc>
          <w:tcPr>
            <w:tcW w:w="2448" w:type="dxa"/>
            <w:vAlign w:val="top"/>
          </w:tcPr>
          <w:p w14:paraId="7607BAB4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14:paraId="5DD456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7" w:hRule="atLeast"/>
        </w:trPr>
        <w:tc>
          <w:tcPr>
            <w:tcW w:w="2117" w:type="dxa"/>
            <w:vMerge w:val="restart"/>
            <w:tcBorders>
              <w:bottom w:val="nil"/>
            </w:tcBorders>
            <w:vAlign w:val="top"/>
          </w:tcPr>
          <w:p w14:paraId="18F51116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48F8F86A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00C6BB7C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3FE56EEF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60288617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6ADA429B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433A9CCE">
            <w:pPr>
              <w:widowControl/>
              <w:kinsoku w:val="0"/>
              <w:snapToGrid w:val="0"/>
              <w:spacing w:before="91" w:line="231" w:lineRule="auto"/>
              <w:ind w:left="121" w:right="106" w:hanging="6"/>
              <w:jc w:val="left"/>
              <w:textAlignment w:val="baseline"/>
              <w:rPr>
                <w:rFonts w:ascii="黑体" w:hAnsi="黑体" w:eastAsia="黑体" w:cs="黑体"/>
                <w:snapToGrid w:val="0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黑体" w:hAnsi="黑体" w:eastAsia="黑体" w:cs="黑体"/>
                <w:snapToGrid w:val="0"/>
                <w:color w:val="000000"/>
                <w:spacing w:val="34"/>
                <w:sz w:val="28"/>
                <w:szCs w:val="28"/>
                <w:lang w:eastAsia="en-US"/>
              </w:rPr>
              <w:t>通过其他平台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4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-3"/>
                <w:sz w:val="28"/>
                <w:szCs w:val="28"/>
                <w:lang w:eastAsia="en-US"/>
              </w:rPr>
              <w:t>开展抽查情况</w:t>
            </w:r>
          </w:p>
        </w:tc>
        <w:tc>
          <w:tcPr>
            <w:tcW w:w="4801" w:type="dxa"/>
            <w:vAlign w:val="top"/>
          </w:tcPr>
          <w:p w14:paraId="7AA6B2F0">
            <w:pPr>
              <w:widowControl/>
              <w:kinsoku w:val="0"/>
              <w:snapToGrid w:val="0"/>
              <w:spacing w:line="27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7C98FC1A">
            <w:pPr>
              <w:widowControl/>
              <w:kinsoku w:val="0"/>
              <w:snapToGrid w:val="0"/>
              <w:spacing w:line="27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3AA0BDD0">
            <w:pPr>
              <w:kinsoku w:val="0"/>
              <w:autoSpaceDE w:val="0"/>
              <w:autoSpaceDN w:val="0"/>
              <w:adjustRightInd w:val="0"/>
              <w:snapToGrid w:val="0"/>
              <w:spacing w:before="91" w:line="228" w:lineRule="auto"/>
              <w:ind w:left="111" w:right="105" w:firstLine="12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en-US" w:bidi="ar-SA"/>
              </w:rPr>
              <w:t xml:space="preserve">本级开展内部随机抽查次数、户数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1"/>
                <w:kern w:val="0"/>
                <w:sz w:val="28"/>
                <w:szCs w:val="28"/>
                <w:lang w:val="en-US" w:eastAsia="en-US" w:bidi="ar-SA"/>
              </w:rPr>
              <w:t>及发现问题户数</w:t>
            </w:r>
          </w:p>
        </w:tc>
        <w:tc>
          <w:tcPr>
            <w:tcW w:w="2448" w:type="dxa"/>
            <w:vAlign w:val="top"/>
          </w:tcPr>
          <w:p w14:paraId="432B9814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14:paraId="57C96A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3" w:hRule="atLeast"/>
        </w:trPr>
        <w:tc>
          <w:tcPr>
            <w:tcW w:w="2117" w:type="dxa"/>
            <w:vMerge w:val="continue"/>
            <w:tcBorders>
              <w:top w:val="nil"/>
            </w:tcBorders>
            <w:vAlign w:val="top"/>
          </w:tcPr>
          <w:p w14:paraId="0DC7A309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01" w:type="dxa"/>
            <w:vAlign w:val="top"/>
          </w:tcPr>
          <w:p w14:paraId="7413CB71">
            <w:pPr>
              <w:widowControl/>
              <w:kinsoku w:val="0"/>
              <w:snapToGrid w:val="0"/>
              <w:spacing w:line="25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5F97DE79">
            <w:pPr>
              <w:widowControl/>
              <w:kinsoku w:val="0"/>
              <w:snapToGrid w:val="0"/>
              <w:spacing w:line="25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656961E5">
            <w:pPr>
              <w:kinsoku w:val="0"/>
              <w:autoSpaceDE w:val="0"/>
              <w:autoSpaceDN w:val="0"/>
              <w:adjustRightInd w:val="0"/>
              <w:snapToGrid w:val="0"/>
              <w:spacing w:before="91" w:line="227" w:lineRule="auto"/>
              <w:ind w:left="113" w:right="105" w:firstLine="10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en-US" w:bidi="ar-SA"/>
              </w:rPr>
              <w:t xml:space="preserve">本级利用信用风险分级分类开展随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1"/>
                <w:kern w:val="0"/>
                <w:sz w:val="28"/>
                <w:szCs w:val="28"/>
                <w:lang w:val="en-US" w:eastAsia="en-US" w:bidi="ar-SA"/>
              </w:rPr>
              <w:t>机抽查的次数、户数及发现问题户数</w:t>
            </w:r>
          </w:p>
        </w:tc>
        <w:tc>
          <w:tcPr>
            <w:tcW w:w="2448" w:type="dxa"/>
            <w:vAlign w:val="top"/>
          </w:tcPr>
          <w:p w14:paraId="1B0E7A47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</w:tbl>
    <w:p w14:paraId="35A14908">
      <w:pPr>
        <w:kinsoku w:val="0"/>
        <w:autoSpaceDE w:val="0"/>
        <w:autoSpaceDN w:val="0"/>
        <w:adjustRightInd w:val="0"/>
        <w:snapToGrid w:val="0"/>
        <w:spacing w:before="172" w:line="214" w:lineRule="auto"/>
        <w:ind w:left="274"/>
        <w:jc w:val="left"/>
        <w:textAlignment w:val="baseline"/>
        <w:rPr>
          <w:rFonts w:ascii="FangSong_GB2312" w:hAnsi="FangSong_GB2312" w:eastAsia="FangSong_GB2312" w:cs="FangSong_GB2312"/>
          <w:snapToGrid w:val="0"/>
          <w:color w:val="000000"/>
          <w:kern w:val="0"/>
          <w:sz w:val="28"/>
          <w:szCs w:val="28"/>
          <w:lang w:val="en-US" w:eastAsia="en-US" w:bidi="ar-SA"/>
        </w:rPr>
      </w:pP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lang w:val="en-US" w:eastAsia="en-US" w:bidi="ar-SA"/>
        </w:rPr>
        <w:t>联系人：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u w:val="single" w:color="auto"/>
          <w:lang w:val="en-US" w:eastAsia="en-US" w:bidi="ar-SA"/>
        </w:rPr>
        <w:t xml:space="preserve">             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lang w:val="en-US" w:eastAsia="en-US" w:bidi="ar-SA"/>
        </w:rPr>
        <w:t xml:space="preserve">  联系电话：</w:t>
      </w:r>
      <w:r>
        <w:rPr>
          <w:rFonts w:ascii="FangSong_GB2312" w:hAnsi="FangSong_GB2312" w:eastAsia="FangSong_GB2312" w:cs="FangSong_GB2312"/>
          <w:snapToGrid w:val="0"/>
          <w:color w:val="000000"/>
          <w:kern w:val="0"/>
          <w:sz w:val="28"/>
          <w:szCs w:val="28"/>
          <w:u w:val="single" w:color="auto"/>
          <w:lang w:val="en-US" w:eastAsia="en-US" w:bidi="ar-SA"/>
        </w:rPr>
        <w:t xml:space="preserve">             </w:t>
      </w:r>
      <w:r>
        <w:rPr>
          <w:rFonts w:ascii="FangSong_GB2312" w:hAnsi="FangSong_GB2312" w:eastAsia="FangSong_GB2312" w:cs="FangSong_GB2312"/>
          <w:snapToGrid w:val="0"/>
          <w:color w:val="000000"/>
          <w:spacing w:val="-111"/>
          <w:kern w:val="0"/>
          <w:sz w:val="28"/>
          <w:szCs w:val="28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lang w:val="en-US" w:eastAsia="en-US" w:bidi="ar-SA"/>
        </w:rPr>
        <w:t>手机：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u w:val="single" w:color="auto"/>
          <w:lang w:val="en-US" w:eastAsia="en-US" w:bidi="ar-SA"/>
        </w:rPr>
        <w:t xml:space="preserve">            </w:t>
      </w:r>
    </w:p>
    <w:p w14:paraId="13D42AFB">
      <w:pPr>
        <w:pStyle w:val="3"/>
        <w:kinsoku w:val="0"/>
        <w:overflowPunct w:val="0"/>
        <w:ind w:left="0" w:leftChars="0" w:firstLine="0" w:firstLineChars="0"/>
        <w:rPr>
          <w:rFonts w:hint="eastAsia" w:ascii="Times New Roman" w:hAnsi="Times New Roman" w:eastAsia="仿宋_GB2312" w:cs="Times New Roman"/>
          <w:sz w:val="2"/>
          <w:szCs w:val="2"/>
          <w:lang w:eastAsia="zh-CN"/>
        </w:rPr>
      </w:pPr>
    </w:p>
    <w:sectPr>
      <w:footerReference r:id="rId3" w:type="default"/>
      <w:pgSz w:w="11910" w:h="16840"/>
      <w:pgMar w:top="2098" w:right="1417" w:bottom="1984" w:left="1531" w:header="0" w:footer="0" w:gutter="0"/>
      <w:pgNumType w:fmt="numberInDash"/>
      <w:cols w:equalWidth="0" w:num="1">
        <w:col w:w="906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F8C9A40F-729F-43DA-AF3D-2709C8C63ACA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5E9C322D-3015-4475-983F-5CCCE7066B38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3" w:fontKey="{46008AF8-3226-4A12-8A7C-DA620DF59E3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EE011C83-7D20-4D1A-B307-023F97F96214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5A8D9CA3-DF3D-4C98-8D71-8F0F43CBFFB3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6" w:fontKey="{BE891D1B-CDFD-4D67-83E6-1EDDE8639649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7" w:fontKey="{5571AD53-BF54-4E39-BF13-D4869A198354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1557A9"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TrueTypeFonts/>
  <w:saveSubsetFonts/>
  <w:bordersDoNotSurroundHeader w:val="0"/>
  <w:bordersDoNotSurroundFooter w:val="0"/>
  <w:documentProtection w:enforcement="0"/>
  <w:defaultTabStop w:val="720"/>
  <w:drawingGridHorizontalSpacing w:val="164"/>
  <w:drawingGridVerticalSpacing w:val="911"/>
  <w:displayHorizontalDrawingGridEvery w:val="1"/>
  <w:displayVerticalDrawingGridEvery w:val="1"/>
  <w:doNotUseMarginsForDrawingGridOrigin w:val="1"/>
  <w:drawingGridHorizontalOrigin w:val="1800"/>
  <w:drawingGridVerticalOrigin w:val="1440"/>
  <w:doNotShadeFormData w:val="1"/>
  <w:noPunctuationKerning w:val="1"/>
  <w:characterSpacingControl w:val="doNotCompress"/>
  <w:doNotValidateAgainstSchema/>
  <w:doNotDemarcateInvalidXml/>
  <w:compat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ZhNTc3ZWFmNzU1ZmJiNDI5ZjNlZWUyMjdiNjlmMGEifQ=="/>
  </w:docVars>
  <w:rsids>
    <w:rsidRoot w:val="00E81EA5"/>
    <w:rsid w:val="0000477E"/>
    <w:rsid w:val="00014372"/>
    <w:rsid w:val="0003074A"/>
    <w:rsid w:val="00052CED"/>
    <w:rsid w:val="000F2CAB"/>
    <w:rsid w:val="000F30A3"/>
    <w:rsid w:val="000F7159"/>
    <w:rsid w:val="0010502F"/>
    <w:rsid w:val="001569B3"/>
    <w:rsid w:val="001A26A2"/>
    <w:rsid w:val="001E3E98"/>
    <w:rsid w:val="0021193B"/>
    <w:rsid w:val="00214CB3"/>
    <w:rsid w:val="00234B70"/>
    <w:rsid w:val="0027137E"/>
    <w:rsid w:val="002A6925"/>
    <w:rsid w:val="002B4746"/>
    <w:rsid w:val="002F2A39"/>
    <w:rsid w:val="002F41A7"/>
    <w:rsid w:val="00344EFB"/>
    <w:rsid w:val="00360F12"/>
    <w:rsid w:val="003614D5"/>
    <w:rsid w:val="00372EB5"/>
    <w:rsid w:val="003A0F9B"/>
    <w:rsid w:val="003C6FAA"/>
    <w:rsid w:val="003F3252"/>
    <w:rsid w:val="00416362"/>
    <w:rsid w:val="0047256A"/>
    <w:rsid w:val="00537A98"/>
    <w:rsid w:val="00540056"/>
    <w:rsid w:val="005E4071"/>
    <w:rsid w:val="00693127"/>
    <w:rsid w:val="00695EB8"/>
    <w:rsid w:val="0069744B"/>
    <w:rsid w:val="006A6A42"/>
    <w:rsid w:val="006B496C"/>
    <w:rsid w:val="006C0777"/>
    <w:rsid w:val="006D2734"/>
    <w:rsid w:val="006D470C"/>
    <w:rsid w:val="006E0018"/>
    <w:rsid w:val="00707134"/>
    <w:rsid w:val="007430DA"/>
    <w:rsid w:val="00760962"/>
    <w:rsid w:val="007B7788"/>
    <w:rsid w:val="007D2FD9"/>
    <w:rsid w:val="007E6989"/>
    <w:rsid w:val="008143F0"/>
    <w:rsid w:val="0084660E"/>
    <w:rsid w:val="008B6FC0"/>
    <w:rsid w:val="008C3461"/>
    <w:rsid w:val="008C6659"/>
    <w:rsid w:val="008E69C5"/>
    <w:rsid w:val="00900BF2"/>
    <w:rsid w:val="00924C63"/>
    <w:rsid w:val="0092521F"/>
    <w:rsid w:val="00950550"/>
    <w:rsid w:val="0096028A"/>
    <w:rsid w:val="00976093"/>
    <w:rsid w:val="009C16F6"/>
    <w:rsid w:val="009D3FAD"/>
    <w:rsid w:val="00A2725A"/>
    <w:rsid w:val="00AA5514"/>
    <w:rsid w:val="00AB73E8"/>
    <w:rsid w:val="00AC1713"/>
    <w:rsid w:val="00B64364"/>
    <w:rsid w:val="00BE550A"/>
    <w:rsid w:val="00C37C8E"/>
    <w:rsid w:val="00D747FD"/>
    <w:rsid w:val="00DD5A67"/>
    <w:rsid w:val="00DE27B0"/>
    <w:rsid w:val="00DE7363"/>
    <w:rsid w:val="00E81EA5"/>
    <w:rsid w:val="00EA5A19"/>
    <w:rsid w:val="00EA7A73"/>
    <w:rsid w:val="00EC5341"/>
    <w:rsid w:val="00ED069E"/>
    <w:rsid w:val="00F376BF"/>
    <w:rsid w:val="00F633A2"/>
    <w:rsid w:val="00F66588"/>
    <w:rsid w:val="00F71EBA"/>
    <w:rsid w:val="00FC61F6"/>
    <w:rsid w:val="00FE5182"/>
    <w:rsid w:val="00FF3338"/>
    <w:rsid w:val="01B464A4"/>
    <w:rsid w:val="02BA6B3C"/>
    <w:rsid w:val="03480BDD"/>
    <w:rsid w:val="03947F55"/>
    <w:rsid w:val="03FE3CA5"/>
    <w:rsid w:val="046460B1"/>
    <w:rsid w:val="074712A8"/>
    <w:rsid w:val="08042438"/>
    <w:rsid w:val="086A071E"/>
    <w:rsid w:val="09D0594F"/>
    <w:rsid w:val="09E73369"/>
    <w:rsid w:val="0A234A29"/>
    <w:rsid w:val="0D2014D6"/>
    <w:rsid w:val="0D6A4506"/>
    <w:rsid w:val="0EEC62C4"/>
    <w:rsid w:val="0F0F3A3B"/>
    <w:rsid w:val="103D25B1"/>
    <w:rsid w:val="10774A97"/>
    <w:rsid w:val="10C84F83"/>
    <w:rsid w:val="11515202"/>
    <w:rsid w:val="11DD539A"/>
    <w:rsid w:val="13A95830"/>
    <w:rsid w:val="147A286F"/>
    <w:rsid w:val="14B35ABC"/>
    <w:rsid w:val="16AC6952"/>
    <w:rsid w:val="16FC0019"/>
    <w:rsid w:val="1955117E"/>
    <w:rsid w:val="1A713A29"/>
    <w:rsid w:val="1AFA0F74"/>
    <w:rsid w:val="1CB87F11"/>
    <w:rsid w:val="1CD31A7D"/>
    <w:rsid w:val="1ECD4DAB"/>
    <w:rsid w:val="1F1930F5"/>
    <w:rsid w:val="1FD44A7B"/>
    <w:rsid w:val="1FF70178"/>
    <w:rsid w:val="209C76ED"/>
    <w:rsid w:val="21900E1F"/>
    <w:rsid w:val="21B24356"/>
    <w:rsid w:val="224A458F"/>
    <w:rsid w:val="22E60742"/>
    <w:rsid w:val="2351253E"/>
    <w:rsid w:val="235F05A0"/>
    <w:rsid w:val="2765311F"/>
    <w:rsid w:val="276B5630"/>
    <w:rsid w:val="27C1077C"/>
    <w:rsid w:val="27CA4CC7"/>
    <w:rsid w:val="27E4137B"/>
    <w:rsid w:val="2AF4186F"/>
    <w:rsid w:val="2BEF7F55"/>
    <w:rsid w:val="2C581F9E"/>
    <w:rsid w:val="2D6A1F89"/>
    <w:rsid w:val="2F6F3FA5"/>
    <w:rsid w:val="30123FFF"/>
    <w:rsid w:val="30817D16"/>
    <w:rsid w:val="31C3435E"/>
    <w:rsid w:val="34795E12"/>
    <w:rsid w:val="347C1A65"/>
    <w:rsid w:val="34D32B0A"/>
    <w:rsid w:val="36121A43"/>
    <w:rsid w:val="37B213A9"/>
    <w:rsid w:val="37C93D50"/>
    <w:rsid w:val="388163D9"/>
    <w:rsid w:val="38817139"/>
    <w:rsid w:val="39344F8B"/>
    <w:rsid w:val="3B457B49"/>
    <w:rsid w:val="3B6C7846"/>
    <w:rsid w:val="3C70105C"/>
    <w:rsid w:val="3DA91472"/>
    <w:rsid w:val="3DFA6BFA"/>
    <w:rsid w:val="3E4203B8"/>
    <w:rsid w:val="3EC9760C"/>
    <w:rsid w:val="3F0062A9"/>
    <w:rsid w:val="3F7170B1"/>
    <w:rsid w:val="3F7F7B16"/>
    <w:rsid w:val="403059BB"/>
    <w:rsid w:val="41AA098C"/>
    <w:rsid w:val="43FB20BD"/>
    <w:rsid w:val="4407278A"/>
    <w:rsid w:val="445C12EB"/>
    <w:rsid w:val="46CC1C7E"/>
    <w:rsid w:val="47743CD8"/>
    <w:rsid w:val="486C0E54"/>
    <w:rsid w:val="49544563"/>
    <w:rsid w:val="4A6371D1"/>
    <w:rsid w:val="4AAF6DD6"/>
    <w:rsid w:val="4B426609"/>
    <w:rsid w:val="4BD74836"/>
    <w:rsid w:val="4BEA27BB"/>
    <w:rsid w:val="4C172F0D"/>
    <w:rsid w:val="4C2676F7"/>
    <w:rsid w:val="4D392FE6"/>
    <w:rsid w:val="4D4839B2"/>
    <w:rsid w:val="4DAC584E"/>
    <w:rsid w:val="4DDF3308"/>
    <w:rsid w:val="4E096578"/>
    <w:rsid w:val="4E2F29C0"/>
    <w:rsid w:val="4E882FA1"/>
    <w:rsid w:val="4EB342A5"/>
    <w:rsid w:val="4FFB2AFE"/>
    <w:rsid w:val="50D93483"/>
    <w:rsid w:val="50F639B0"/>
    <w:rsid w:val="523C3645"/>
    <w:rsid w:val="554924A5"/>
    <w:rsid w:val="56697E25"/>
    <w:rsid w:val="57E36310"/>
    <w:rsid w:val="58514147"/>
    <w:rsid w:val="58D32208"/>
    <w:rsid w:val="59DD7A04"/>
    <w:rsid w:val="59ED3194"/>
    <w:rsid w:val="5A851901"/>
    <w:rsid w:val="5B433C96"/>
    <w:rsid w:val="5C142F3C"/>
    <w:rsid w:val="5C2B7DD8"/>
    <w:rsid w:val="5D9923BD"/>
    <w:rsid w:val="5DD01B79"/>
    <w:rsid w:val="5DE132F2"/>
    <w:rsid w:val="5E2420D4"/>
    <w:rsid w:val="5F150B51"/>
    <w:rsid w:val="5F5024DD"/>
    <w:rsid w:val="5F546472"/>
    <w:rsid w:val="607F0675"/>
    <w:rsid w:val="60AC5E39"/>
    <w:rsid w:val="639E6350"/>
    <w:rsid w:val="639F1C85"/>
    <w:rsid w:val="661258E4"/>
    <w:rsid w:val="677B6565"/>
    <w:rsid w:val="6A227E01"/>
    <w:rsid w:val="6ACE2D47"/>
    <w:rsid w:val="6ADA79C0"/>
    <w:rsid w:val="6BA53BB1"/>
    <w:rsid w:val="6C5F7359"/>
    <w:rsid w:val="6CEB1A97"/>
    <w:rsid w:val="6F655B31"/>
    <w:rsid w:val="6FF9096F"/>
    <w:rsid w:val="70E84C6C"/>
    <w:rsid w:val="714B51FB"/>
    <w:rsid w:val="738263FC"/>
    <w:rsid w:val="73B161D1"/>
    <w:rsid w:val="740B1442"/>
    <w:rsid w:val="75F55735"/>
    <w:rsid w:val="79317119"/>
    <w:rsid w:val="79697AA3"/>
    <w:rsid w:val="7A117285"/>
    <w:rsid w:val="7A7632E8"/>
    <w:rsid w:val="7C2E374F"/>
    <w:rsid w:val="7C3847D9"/>
    <w:rsid w:val="7E1E1C40"/>
    <w:rsid w:val="7E823739"/>
    <w:rsid w:val="7F62208D"/>
    <w:rsid w:val="7F7B314F"/>
    <w:rsid w:val="7FAA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96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kern w:val="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1"/>
    <w:pPr>
      <w:ind w:left="115"/>
      <w:outlineLvl w:val="0"/>
    </w:pPr>
    <w:rPr>
      <w:rFonts w:ascii="宋体" w:eastAsia="宋体" w:cs="宋体"/>
      <w:sz w:val="44"/>
      <w:szCs w:val="44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autoRedefine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4">
    <w:name w:val="Balloon Text"/>
    <w:basedOn w:val="1"/>
    <w:link w:val="19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8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character" w:styleId="10">
    <w:name w:val="page number"/>
    <w:basedOn w:val="9"/>
    <w:autoRedefine/>
    <w:qFormat/>
    <w:uiPriority w:val="0"/>
  </w:style>
  <w:style w:type="character" w:styleId="11">
    <w:name w:val="Hyperlink"/>
    <w:basedOn w:val="9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2">
    <w:name w:val="Heading3"/>
    <w:basedOn w:val="1"/>
    <w:next w:val="1"/>
    <w:autoRedefine/>
    <w:qFormat/>
    <w:uiPriority w:val="99"/>
    <w:pPr>
      <w:keepNext/>
      <w:keepLines/>
      <w:spacing w:line="560" w:lineRule="exact"/>
      <w:textAlignment w:val="baseline"/>
    </w:pPr>
    <w:rPr>
      <w:rFonts w:ascii="Calibri" w:hAnsi="Calibri" w:cs="Calibri"/>
      <w:b/>
      <w:bCs/>
    </w:rPr>
  </w:style>
  <w:style w:type="character" w:customStyle="1" w:styleId="13">
    <w:name w:val="正文文本 字符"/>
    <w:basedOn w:val="9"/>
    <w:link w:val="3"/>
    <w:autoRedefine/>
    <w:semiHidden/>
    <w:qFormat/>
    <w:uiPriority w:val="99"/>
    <w:rPr>
      <w:rFonts w:ascii="Times New Roman" w:hAnsi="Times New Roman" w:cs="Times New Roman"/>
      <w:kern w:val="0"/>
      <w:sz w:val="24"/>
      <w:szCs w:val="24"/>
    </w:rPr>
  </w:style>
  <w:style w:type="character" w:customStyle="1" w:styleId="14">
    <w:name w:val="标题 1 字符"/>
    <w:basedOn w:val="9"/>
    <w:link w:val="2"/>
    <w:autoRedefine/>
    <w:qFormat/>
    <w:uiPriority w:val="9"/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15">
    <w:name w:val="List Paragraph"/>
    <w:basedOn w:val="1"/>
    <w:autoRedefine/>
    <w:qFormat/>
    <w:uiPriority w:val="1"/>
  </w:style>
  <w:style w:type="paragraph" w:customStyle="1" w:styleId="16">
    <w:name w:val="Table Paragraph"/>
    <w:basedOn w:val="1"/>
    <w:autoRedefine/>
    <w:qFormat/>
    <w:uiPriority w:val="1"/>
  </w:style>
  <w:style w:type="character" w:customStyle="1" w:styleId="17">
    <w:name w:val="页眉 字符"/>
    <w:basedOn w:val="9"/>
    <w:link w:val="6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8">
    <w:name w:val="页脚 字符"/>
    <w:basedOn w:val="9"/>
    <w:link w:val="5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9">
    <w:name w:val="批注框文本 字符"/>
    <w:basedOn w:val="9"/>
    <w:link w:val="4"/>
    <w:autoRedefine/>
    <w:semiHidden/>
    <w:qFormat/>
    <w:uiPriority w:val="99"/>
    <w:rPr>
      <w:rFonts w:ascii="Times New Roman" w:hAnsi="Times New Roman" w:cs="Times New Roman"/>
      <w:kern w:val="0"/>
      <w:sz w:val="18"/>
      <w:szCs w:val="18"/>
    </w:rPr>
  </w:style>
  <w:style w:type="paragraph" w:customStyle="1" w:styleId="20">
    <w:name w:val="Heading #2|1"/>
    <w:basedOn w:val="1"/>
    <w:autoRedefine/>
    <w:qFormat/>
    <w:uiPriority w:val="0"/>
    <w:pPr>
      <w:widowControl w:val="0"/>
      <w:shd w:val="clear" w:color="auto" w:fill="auto"/>
      <w:spacing w:after="540" w:line="662" w:lineRule="exact"/>
      <w:jc w:val="center"/>
      <w:outlineLvl w:val="1"/>
    </w:pPr>
    <w:rPr>
      <w:rFonts w:ascii="宋体" w:hAnsi="宋体" w:eastAsia="宋体" w:cs="宋体"/>
      <w:sz w:val="40"/>
      <w:szCs w:val="40"/>
      <w:u w:val="none"/>
      <w:shd w:val="clear" w:color="auto" w:fill="auto"/>
      <w:lang w:val="zh-TW" w:eastAsia="zh-TW" w:bidi="zh-TW"/>
    </w:rPr>
  </w:style>
  <w:style w:type="paragraph" w:customStyle="1" w:styleId="21">
    <w:name w:val="Body text|1"/>
    <w:basedOn w:val="1"/>
    <w:autoRedefine/>
    <w:qFormat/>
    <w:uiPriority w:val="0"/>
    <w:pPr>
      <w:widowControl w:val="0"/>
      <w:shd w:val="clear" w:color="auto" w:fill="auto"/>
      <w:spacing w:line="420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22">
    <w:name w:val="Header or footer|2"/>
    <w:basedOn w:val="1"/>
    <w:autoRedefine/>
    <w:qFormat/>
    <w:uiPriority w:val="0"/>
    <w:pPr>
      <w:widowControl w:val="0"/>
      <w:shd w:val="clear" w:color="auto" w:fill="auto"/>
    </w:pPr>
    <w:rPr>
      <w:sz w:val="20"/>
      <w:szCs w:val="20"/>
      <w:u w:val="none"/>
      <w:shd w:val="clear" w:color="auto" w:fill="auto"/>
      <w:lang w:val="zh-TW" w:eastAsia="zh-TW" w:bidi="zh-TW"/>
    </w:rPr>
  </w:style>
  <w:style w:type="table" w:customStyle="1" w:styleId="2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4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2914</Words>
  <Characters>2990</Characters>
  <Lines>3</Lines>
  <Paragraphs>1</Paragraphs>
  <TotalTime>7</TotalTime>
  <ScaleCrop>false</ScaleCrop>
  <LinksUpToDate>false</LinksUpToDate>
  <CharactersWithSpaces>3153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2020-01-08T06:56:00Z</dcterms:created>
  <dc:creator>冯樱</dc:creator>
  <cp:lastModifiedBy>Administrator</cp:lastModifiedBy>
  <cp:lastPrinted>2025-03-05T05:53:00Z</cp:lastPrinted>
  <dcterms:modified xsi:type="dcterms:W3CDTF">2025-04-24T07:21:11Z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Office</vt:lpwstr>
  </property>
  <property fmtid="{D5CDD505-2E9C-101B-9397-08002B2CF9AE}" pid="3" name="KSOProductBuildVer">
    <vt:lpwstr>2052-12.1.0.20784</vt:lpwstr>
  </property>
  <property fmtid="{D5CDD505-2E9C-101B-9397-08002B2CF9AE}" pid="4" name="ICV">
    <vt:lpwstr>3341C720136E4BE786E7BADDA64FA97D_13</vt:lpwstr>
  </property>
  <property fmtid="{D5CDD505-2E9C-101B-9397-08002B2CF9AE}" pid="5" name="KSOTemplateDocerSaveRecord">
    <vt:lpwstr>eyJoZGlkIjoiYzQxZjRkMmYwZTU2MTU1NjAxZmY0ZTc5ZmEzNWE3OTYifQ==</vt:lpwstr>
  </property>
</Properties>
</file>