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eastAsia="宋体"/>
          <w:b/>
          <w:sz w:val="44"/>
          <w:szCs w:val="44"/>
        </w:rPr>
      </w:pPr>
      <w:r>
        <w:rPr>
          <w:rFonts w:hint="eastAsia" w:ascii="宋体" w:hAnsi="宋体" w:eastAsia="宋体"/>
          <w:b/>
          <w:sz w:val="44"/>
          <w:szCs w:val="44"/>
        </w:rPr>
        <w:t>涞源县财政局</w:t>
      </w:r>
    </w:p>
    <w:p>
      <w:pPr>
        <w:jc w:val="center"/>
        <w:rPr>
          <w:rFonts w:ascii="宋体" w:hAnsi="宋体" w:eastAsia="宋体"/>
          <w:b/>
          <w:sz w:val="44"/>
          <w:szCs w:val="44"/>
        </w:rPr>
      </w:pPr>
      <w:r>
        <w:rPr>
          <w:rFonts w:hint="eastAsia" w:ascii="宋体" w:hAnsi="宋体" w:eastAsia="宋体"/>
          <w:b/>
          <w:sz w:val="44"/>
          <w:szCs w:val="44"/>
        </w:rPr>
        <w:t>202</w:t>
      </w:r>
      <w:r>
        <w:rPr>
          <w:rFonts w:hint="eastAsia" w:ascii="宋体" w:hAnsi="宋体" w:eastAsia="宋体"/>
          <w:b/>
          <w:sz w:val="44"/>
          <w:szCs w:val="44"/>
          <w:lang w:val="en-US" w:eastAsia="zh-CN"/>
        </w:rPr>
        <w:t>1</w:t>
      </w:r>
      <w:r>
        <w:rPr>
          <w:rFonts w:hint="eastAsia" w:ascii="宋体" w:hAnsi="宋体" w:eastAsia="宋体"/>
          <w:b/>
          <w:sz w:val="44"/>
          <w:szCs w:val="44"/>
        </w:rPr>
        <w:t>年＂双随机、一公开”监管工作</w:t>
      </w:r>
    </w:p>
    <w:p>
      <w:pPr>
        <w:jc w:val="center"/>
        <w:rPr>
          <w:rFonts w:ascii="宋体" w:hAnsi="宋体" w:eastAsia="宋体"/>
          <w:b/>
          <w:sz w:val="44"/>
          <w:szCs w:val="44"/>
        </w:rPr>
      </w:pPr>
      <w:r>
        <w:rPr>
          <w:rFonts w:hint="eastAsia" w:ascii="宋体" w:hAnsi="宋体" w:eastAsia="宋体"/>
          <w:b/>
          <w:sz w:val="44"/>
          <w:szCs w:val="44"/>
        </w:rPr>
        <w:t>实施方案</w:t>
      </w:r>
    </w:p>
    <w:p>
      <w:pPr>
        <w:jc w:val="center"/>
        <w:rPr>
          <w:rFonts w:ascii="宋体" w:hAnsi="宋体" w:eastAsia="宋体"/>
          <w:b/>
          <w:sz w:val="44"/>
          <w:szCs w:val="44"/>
        </w:rPr>
      </w:pPr>
      <w:r>
        <w:rPr>
          <w:rFonts w:hint="eastAsia" w:ascii="宋体" w:hAnsi="宋体" w:eastAsia="宋体"/>
          <w:b/>
          <w:sz w:val="44"/>
          <w:szCs w:val="44"/>
        </w:rPr>
        <w:t xml:space="preserve">  </w:t>
      </w:r>
    </w:p>
    <w:p>
      <w:pPr>
        <w:jc w:val="center"/>
        <w:rPr>
          <w:rFonts w:ascii="宋体" w:hAnsi="宋体" w:eastAsia="宋体"/>
          <w:b/>
          <w:sz w:val="44"/>
          <w:szCs w:val="44"/>
        </w:rPr>
      </w:pPr>
      <w:r>
        <w:rPr>
          <w:rFonts w:hint="eastAsia" w:ascii="宋体" w:hAnsi="宋体" w:eastAsia="宋体"/>
          <w:b/>
          <w:sz w:val="44"/>
          <w:szCs w:val="44"/>
        </w:rPr>
        <w:t xml:space="preserve">    </w:t>
      </w:r>
      <w:r>
        <w:rPr>
          <w:rFonts w:hint="eastAsia" w:ascii="仿宋" w:hAnsi="仿宋" w:eastAsia="仿宋"/>
          <w:sz w:val="32"/>
          <w:szCs w:val="32"/>
        </w:rPr>
        <w:t>为认真贯彻落实国务院、省、市政府关于“双随机、一公开”监管工作的决策部署，深入推进部门内部联合和跨部门联合“双随机、一公开”监管工作，根据《河北省人民政府关于在市场监管领域全面推行部门联合“双随机、一公开”监管的实施意见》(冀政字(2019)22号)和保定市“双随机、一公开”领导小组办公室印发的《2020年“双随机、一公开”监管工作实施方案》的通知(保双随机办[2020]1号)、关于对《关于全省“双随机公开”监管工作考核评价情况的通报》的整改落实通知(保双随机办[202013号)。关于印发《(2020年涞源县“双随机、一公开”监管工作推进方案》的通知(涞双随机办【2020】2号)等文件精神，参照河北省财政厅制定的抽查事项清单、抽査计划，结合我局实际，制定本方案。</w:t>
      </w:r>
    </w:p>
    <w:p>
      <w:pPr>
        <w:ind w:firstLine="643" w:firstLineChars="200"/>
        <w:rPr>
          <w:rFonts w:asciiTheme="majorEastAsia" w:hAnsiTheme="majorEastAsia" w:eastAsiaTheme="majorEastAsia"/>
          <w:b/>
          <w:sz w:val="32"/>
          <w:szCs w:val="32"/>
        </w:rPr>
      </w:pPr>
      <w:r>
        <w:rPr>
          <w:rFonts w:asciiTheme="majorEastAsia" w:hAnsiTheme="majorEastAsia" w:eastAsiaTheme="majorEastAsia"/>
          <w:b/>
          <w:sz w:val="32"/>
          <w:szCs w:val="32"/>
        </w:rPr>
        <w:t>一、</w:t>
      </w:r>
      <w:r>
        <w:rPr>
          <w:rFonts w:hint="eastAsia" w:asciiTheme="majorEastAsia" w:hAnsiTheme="majorEastAsia" w:eastAsiaTheme="majorEastAsia"/>
          <w:b/>
          <w:sz w:val="32"/>
          <w:szCs w:val="32"/>
        </w:rPr>
        <w:t>工作目标</w:t>
      </w:r>
    </w:p>
    <w:p>
      <w:pPr>
        <w:ind w:firstLine="643" w:firstLineChars="200"/>
        <w:rPr>
          <w:rFonts w:ascii="仿宋" w:hAnsi="仿宋" w:eastAsia="仿宋"/>
          <w:sz w:val="32"/>
          <w:szCs w:val="32"/>
        </w:rPr>
      </w:pPr>
      <w:r>
        <w:rPr>
          <w:rFonts w:hint="eastAsia" w:ascii="仿宋" w:hAnsi="仿宋" w:eastAsia="仿宋"/>
          <w:b/>
          <w:sz w:val="32"/>
          <w:szCs w:val="32"/>
        </w:rPr>
        <w:t>(一)完善局机关内部随机抽查工作机制。</w:t>
      </w:r>
      <w:r>
        <w:rPr>
          <w:rFonts w:hint="eastAsia" w:ascii="仿宋" w:hAnsi="仿宋" w:eastAsia="仿宋"/>
          <w:sz w:val="32"/>
          <w:szCs w:val="32"/>
        </w:rPr>
        <w:t>按国家、省、市、县有关要求，围绕“国家重大财税政策调整”、“扶贫资金监管”“各类专项行动”、“政府采购领域”、“行政事业单位会计信息质量”等监督检查活动，深入开展“双随机、一公开”监管工作。通过进一步完善机关内部随机抽查工作机制，确保局内部联合抽查工作工作实现全覆盖、常态化。</w:t>
      </w:r>
    </w:p>
    <w:p>
      <w:pPr>
        <w:ind w:firstLine="643" w:firstLineChars="200"/>
        <w:rPr>
          <w:rFonts w:ascii="仿宋" w:hAnsi="仿宋" w:eastAsia="仿宋"/>
          <w:sz w:val="32"/>
          <w:szCs w:val="32"/>
        </w:rPr>
      </w:pPr>
      <w:r>
        <w:rPr>
          <w:rFonts w:hint="eastAsia" w:ascii="仿宋" w:hAnsi="仿宋" w:eastAsia="仿宋"/>
          <w:b/>
          <w:sz w:val="32"/>
          <w:szCs w:val="32"/>
        </w:rPr>
        <w:t>(二)建立健全部门联合“双随机、一公开”监管工作机制</w:t>
      </w:r>
      <w:r>
        <w:rPr>
          <w:rFonts w:hint="eastAsia" w:ascii="仿宋" w:hAnsi="仿宋" w:eastAsia="仿宋"/>
          <w:sz w:val="32"/>
          <w:szCs w:val="32"/>
        </w:rPr>
        <w:t>，按《河北省2020年“双随机、一公开”抽査工作计划》安排，配合相关部门一同完成部门联合抽查工作任务。</w:t>
      </w:r>
    </w:p>
    <w:p>
      <w:pPr>
        <w:ind w:firstLine="643" w:firstLineChars="200"/>
        <w:rPr>
          <w:rFonts w:ascii="仿宋" w:hAnsi="仿宋" w:eastAsia="仿宋"/>
          <w:sz w:val="32"/>
          <w:szCs w:val="32"/>
        </w:rPr>
      </w:pPr>
      <w:r>
        <w:rPr>
          <w:rFonts w:hint="eastAsia" w:ascii="仿宋" w:hAnsi="仿宋" w:eastAsia="仿宋"/>
          <w:b/>
          <w:sz w:val="32"/>
          <w:szCs w:val="32"/>
        </w:rPr>
        <w:t>(三)加强抽查对象信用管理和风险管控</w:t>
      </w:r>
      <w:r>
        <w:rPr>
          <w:rFonts w:hint="eastAsia" w:ascii="仿宋" w:hAnsi="仿宋" w:eastAsia="仿宋"/>
          <w:sz w:val="32"/>
          <w:szCs w:val="32"/>
        </w:rPr>
        <w:t>。按全县部署及安排，进一步探索双随机抽查与大数据分析、信用风险分类管理等有机结合机制，提高双随机抽查的精准性和问题发现率，确保随机抽查的震慑力。</w:t>
      </w:r>
    </w:p>
    <w:p>
      <w:pPr>
        <w:ind w:firstLine="643" w:firstLineChars="200"/>
        <w:rPr>
          <w:rFonts w:ascii="仿宋" w:hAnsi="仿宋" w:eastAsia="仿宋"/>
          <w:sz w:val="32"/>
          <w:szCs w:val="32"/>
        </w:rPr>
      </w:pPr>
      <w:r>
        <w:rPr>
          <w:rFonts w:hint="eastAsia" w:ascii="仿宋" w:hAnsi="仿宋" w:eastAsia="仿宋"/>
          <w:b/>
          <w:sz w:val="32"/>
          <w:szCs w:val="32"/>
        </w:rPr>
        <w:t>(四)合理确定抽查次数和比例</w:t>
      </w:r>
      <w:r>
        <w:rPr>
          <w:rFonts w:hint="eastAsia" w:ascii="仿宋" w:hAnsi="仿宋" w:eastAsia="仿宋"/>
          <w:sz w:val="32"/>
          <w:szCs w:val="32"/>
        </w:rPr>
        <w:t>。确保年度随机抽査事项占比达到5％以上，抽査检查结果100％公示，抽查检查发现问题后续监管到位。</w:t>
      </w:r>
    </w:p>
    <w:p>
      <w:pPr>
        <w:ind w:firstLine="643" w:firstLineChars="200"/>
        <w:rPr>
          <w:rFonts w:ascii="仿宋" w:hAnsi="仿宋" w:eastAsia="仿宋"/>
          <w:b/>
          <w:sz w:val="32"/>
          <w:szCs w:val="32"/>
        </w:rPr>
      </w:pPr>
      <w:r>
        <w:rPr>
          <w:rFonts w:asciiTheme="majorEastAsia" w:hAnsiTheme="majorEastAsia" w:eastAsiaTheme="majorEastAsia"/>
          <w:b/>
          <w:sz w:val="32"/>
          <w:szCs w:val="32"/>
        </w:rPr>
        <w:t>二、</w:t>
      </w:r>
      <w:r>
        <w:rPr>
          <w:rFonts w:hint="eastAsia" w:asciiTheme="majorEastAsia" w:hAnsiTheme="majorEastAsia" w:eastAsiaTheme="majorEastAsia"/>
          <w:b/>
          <w:sz w:val="32"/>
          <w:szCs w:val="32"/>
        </w:rPr>
        <w:t>主要工作任务</w:t>
      </w:r>
      <w:r>
        <w:rPr>
          <w:rFonts w:hint="eastAsia" w:ascii="仿宋" w:hAnsi="仿宋" w:eastAsia="仿宋"/>
          <w:b/>
          <w:sz w:val="32"/>
          <w:szCs w:val="32"/>
        </w:rPr>
        <w:t xml:space="preserve">  </w:t>
      </w:r>
    </w:p>
    <w:p>
      <w:pPr>
        <w:ind w:firstLine="643" w:firstLineChars="200"/>
        <w:rPr>
          <w:rFonts w:asciiTheme="majorEastAsia" w:hAnsiTheme="majorEastAsia" w:eastAsiaTheme="majorEastAsia"/>
          <w:b/>
          <w:sz w:val="32"/>
          <w:szCs w:val="32"/>
        </w:rPr>
      </w:pPr>
      <w:r>
        <w:rPr>
          <w:rFonts w:hint="eastAsia" w:ascii="仿宋" w:hAnsi="仿宋" w:eastAsia="仿宋"/>
          <w:b/>
          <w:sz w:val="32"/>
          <w:szCs w:val="32"/>
        </w:rPr>
        <w:t>（ 一）细化“一单两库”建设</w:t>
      </w:r>
    </w:p>
    <w:p>
      <w:pPr>
        <w:rPr>
          <w:rFonts w:ascii="仿宋" w:hAnsi="仿宋" w:eastAsia="仿宋"/>
          <w:b/>
          <w:sz w:val="32"/>
          <w:szCs w:val="32"/>
        </w:rPr>
      </w:pPr>
      <w:r>
        <w:rPr>
          <w:rFonts w:hint="eastAsia" w:ascii="仿宋" w:hAnsi="仿宋" w:eastAsia="仿宋"/>
          <w:b/>
          <w:sz w:val="32"/>
          <w:szCs w:val="32"/>
        </w:rPr>
        <w:t xml:space="preserve">  </w:t>
      </w:r>
      <w:r>
        <w:rPr>
          <w:rFonts w:hint="eastAsia" w:ascii="仿宋" w:hAnsi="仿宋" w:eastAsia="仿宋"/>
          <w:sz w:val="32"/>
          <w:szCs w:val="32"/>
        </w:rPr>
        <w:t>1、制定好“双随机一公开”抽査事项清单和抽査计划清单，要认真梳理财政系统已在河北省“互联网+监管”平台上公开的监管事项(联合抽查两项)，参照河北省财政厅2020年抽查计划(四项)，按着“监管职责、应纳尽纳”的原则，将其纳入本系统随机抽查事项清单，落实好属地监管、日常监管的需求。在此基础上，结合监管工作重点，制定出2020年“双随机、一公开”抽查计划合理确定一般检查事项、重点抽查事项以及各自的抽査比例，促进执法人员科学分配和合理使用。</w:t>
      </w:r>
    </w:p>
    <w:p>
      <w:pPr>
        <w:rPr>
          <w:rFonts w:ascii="仿宋" w:hAnsi="仿宋" w:eastAsia="仿宋"/>
          <w:sz w:val="32"/>
          <w:szCs w:val="32"/>
        </w:rPr>
      </w:pPr>
      <w:r>
        <w:rPr>
          <w:rFonts w:hint="eastAsia" w:ascii="仿宋" w:hAnsi="仿宋" w:eastAsia="仿宋"/>
          <w:sz w:val="32"/>
          <w:szCs w:val="32"/>
        </w:rPr>
        <w:t>2、按照国发(2019)5号和冀政字(2019)22号文件要求动态调整本级本部门检查对象名录库和执法检査人员名录库，确保本级本部门检查对象和执法人员应纳尽纳;综合考虑检查对象行业、领域、种类等，对检査对象进行分类标注，综合考虑部门内部职能划分、执法人员种类、执法专长等，对执法人员进行分类标注，实现对检查对象的精准抽取和对执法人员的精准匹配，提升监管效能。</w:t>
      </w:r>
    </w:p>
    <w:p>
      <w:pPr>
        <w:ind w:firstLine="643" w:firstLineChars="200"/>
        <w:rPr>
          <w:rFonts w:asciiTheme="majorEastAsia" w:hAnsiTheme="majorEastAsia" w:eastAsiaTheme="majorEastAsia"/>
          <w:b/>
          <w:sz w:val="32"/>
          <w:szCs w:val="32"/>
        </w:rPr>
      </w:pPr>
      <w:r>
        <w:rPr>
          <w:rFonts w:hint="eastAsia" w:asciiTheme="majorEastAsia" w:hAnsiTheme="majorEastAsia" w:eastAsiaTheme="majorEastAsia"/>
          <w:b/>
          <w:sz w:val="32"/>
          <w:szCs w:val="32"/>
        </w:rPr>
        <w:t>(二)科学制定随机抽查工作计划。</w:t>
      </w:r>
    </w:p>
    <w:p>
      <w:pPr>
        <w:ind w:firstLine="643" w:firstLineChars="200"/>
        <w:rPr>
          <w:rFonts w:ascii="仿宋" w:hAnsi="仿宋" w:eastAsia="仿宋"/>
          <w:sz w:val="32"/>
          <w:szCs w:val="32"/>
        </w:rPr>
      </w:pPr>
      <w:r>
        <w:rPr>
          <w:rFonts w:hint="eastAsia" w:ascii="仿宋" w:hAnsi="仿宋" w:eastAsia="仿宋"/>
          <w:b/>
          <w:sz w:val="32"/>
          <w:szCs w:val="32"/>
        </w:rPr>
        <w:t>1、会计信息质量监督检查</w:t>
      </w:r>
      <w:r>
        <w:rPr>
          <w:rFonts w:hint="eastAsia" w:ascii="仿宋" w:hAnsi="仿宋" w:eastAsia="仿宋"/>
          <w:sz w:val="32"/>
          <w:szCs w:val="32"/>
        </w:rPr>
        <w:t>。按照河北省财政厅组织2020年度有关开展会计评估监督检查工作的通知要求抓好工作落实，选择重点行业、重点单位，特别是关系到本区域经济社会发展重点和群众关心的热点组织开展会计监督检查，随机抽取的数量、方法、要求等按省财政厅《通知》抓好落实。(责任股室:稽查办，完成时限:10底前完成）</w:t>
      </w:r>
    </w:p>
    <w:p>
      <w:pPr>
        <w:ind w:firstLine="640" w:firstLineChars="200"/>
        <w:rPr>
          <w:rFonts w:ascii="仿宋" w:hAnsi="仿宋" w:eastAsia="仿宋"/>
          <w:sz w:val="32"/>
          <w:szCs w:val="32"/>
        </w:rPr>
      </w:pPr>
      <w:r>
        <w:rPr>
          <w:rFonts w:hint="eastAsia" w:ascii="仿宋" w:hAnsi="仿宋" w:eastAsia="仿宋"/>
          <w:sz w:val="32"/>
          <w:szCs w:val="32"/>
        </w:rPr>
        <w:t>(</w:t>
      </w:r>
      <w:r>
        <w:rPr>
          <w:rFonts w:hint="eastAsia" w:ascii="仿宋" w:hAnsi="仿宋" w:eastAsia="仿宋"/>
          <w:b/>
          <w:sz w:val="32"/>
          <w:szCs w:val="32"/>
        </w:rPr>
        <w:t>三)加强完善配套制度机制，不断提高信用监管作用和抽查效能</w:t>
      </w:r>
      <w:r>
        <w:rPr>
          <w:rFonts w:hint="eastAsia" w:ascii="仿宋" w:hAnsi="仿宋" w:eastAsia="仿宋"/>
          <w:sz w:val="32"/>
          <w:szCs w:val="32"/>
        </w:rPr>
        <w:t>。政府采购领域很容易出现违法问题，局内各业务股(室)在安排财政性资金实施政府采购过程中，要与政府采购管理股室密切配合，通过省《国家企业信用信息公示系统》不定期进行网上查询提高抽查检査结果信息的统一归集与互认共享，充分发挥随机抽查结果在信用约東和联合惩戒中的威慑力。在此基础上，政府采购管理股室处应积极探索网上监测监管方法，加强信息监测分析，合理确定抽查比例和频次，提升监管的覆盖面和随机抽查的及时性和精准性。不断完善抽查监管应用平台，提高监管效能。</w:t>
      </w:r>
    </w:p>
    <w:p>
      <w:pPr>
        <w:ind w:firstLine="643" w:firstLineChars="200"/>
        <w:rPr>
          <w:rFonts w:ascii="仿宋" w:hAnsi="仿宋" w:eastAsia="仿宋"/>
          <w:sz w:val="32"/>
          <w:szCs w:val="32"/>
        </w:rPr>
      </w:pPr>
      <w:r>
        <w:rPr>
          <w:rFonts w:hint="eastAsia" w:ascii="仿宋" w:hAnsi="仿宋" w:eastAsia="仿宋"/>
          <w:b/>
          <w:sz w:val="32"/>
          <w:szCs w:val="32"/>
        </w:rPr>
        <w:t>(四)健全完善随机抽查的制度机制，不断提高抽查工作规范化、标准化水平。</w:t>
      </w:r>
      <w:r>
        <w:rPr>
          <w:rFonts w:hint="eastAsia" w:ascii="仿宋" w:hAnsi="仿宋" w:eastAsia="仿宋"/>
          <w:sz w:val="32"/>
          <w:szCs w:val="32"/>
        </w:rPr>
        <w:t>纳入“双随机、一公开”监管工作的股(室)，要根据本项工作的实际情况，进一步完善随机抽查工作相关制度，实现抽査检査、结果录入、会商研判、审核批准、公示发布等环节的制度化、标准化，形成一套科学严谨规范的工作程序。同时，要按照《涞源县“双随机、一公开”监管工作推进方案》的通知要求，加强对下级单位的指导和督促，积极探索针对“重点行业”和“高风险领域”开展双随机抽查好的特点和思路，形成财政系统的工作亮点</w:t>
      </w:r>
    </w:p>
    <w:p>
      <w:pPr>
        <w:rPr>
          <w:rFonts w:ascii="仿宋" w:hAnsi="仿宋" w:eastAsia="仿宋"/>
          <w:sz w:val="32"/>
          <w:szCs w:val="32"/>
        </w:rPr>
      </w:pPr>
      <w:r>
        <w:rPr>
          <w:rFonts w:hint="eastAsia" w:ascii="仿宋" w:hAnsi="仿宋" w:eastAsia="仿宋"/>
          <w:b/>
          <w:sz w:val="32"/>
          <w:szCs w:val="32"/>
        </w:rPr>
        <w:t>(五)加大抽查宣传、业务培训力度。</w:t>
      </w:r>
      <w:r>
        <w:rPr>
          <w:rFonts w:hint="eastAsia" w:ascii="仿宋" w:hAnsi="仿宋" w:eastAsia="仿宋"/>
          <w:sz w:val="32"/>
          <w:szCs w:val="32"/>
        </w:rPr>
        <w:t>局机关业务股(室)，要加大对随机抽查的宣传报道，不断扩大企业、行政事业、社会的认知度和参与度，形成良好的社会监督氛围。</w:t>
      </w:r>
    </w:p>
    <w:p>
      <w:pPr>
        <w:rPr>
          <w:rFonts w:ascii="仿宋" w:hAnsi="仿宋" w:eastAsia="仿宋"/>
          <w:sz w:val="32"/>
          <w:szCs w:val="32"/>
        </w:rPr>
      </w:pPr>
      <w:r>
        <w:rPr>
          <w:rFonts w:hint="eastAsia" w:ascii="仿宋" w:hAnsi="仿宋" w:eastAsia="仿宋"/>
          <w:b/>
          <w:sz w:val="32"/>
          <w:szCs w:val="32"/>
        </w:rPr>
        <w:t>(六)强化抽查结果的公示运用</w:t>
      </w:r>
      <w:r>
        <w:rPr>
          <w:rFonts w:hint="eastAsia" w:ascii="仿宋" w:hAnsi="仿宋" w:eastAsia="仿宋"/>
          <w:sz w:val="32"/>
          <w:szCs w:val="32"/>
        </w:rPr>
        <w:t>。执法检査人员按要求要在完成“双随机、一公开”联合抽査工作后5个工作日内和本次抽查结東之日前，将抽查结果录入“河北省双随机监管工作平台”系统，抽査结果由系统完成数据交换后自动归集到财政局主体名下，通过“国家企业信用信息公示系统(河北)”向社会公示。同时，要切实保障抽查结果得到有效运用。一是要及时反馈抽查情况，就被抽查单位存在的主要问题，列出事项清单，通过电子邮件等渠道告知单位及其主管部门。</w:t>
      </w:r>
    </w:p>
    <w:p>
      <w:pPr>
        <w:rPr>
          <w:rFonts w:asciiTheme="majorEastAsia" w:hAnsiTheme="majorEastAsia" w:eastAsiaTheme="majorEastAsia"/>
          <w:b/>
          <w:sz w:val="32"/>
          <w:szCs w:val="32"/>
        </w:rPr>
      </w:pPr>
      <w:r>
        <w:rPr>
          <w:rFonts w:hint="eastAsia" w:asciiTheme="majorEastAsia" w:hAnsiTheme="majorEastAsia" w:eastAsiaTheme="majorEastAsia"/>
          <w:b/>
          <w:sz w:val="32"/>
          <w:szCs w:val="32"/>
        </w:rPr>
        <w:t>三、工作要求</w:t>
      </w:r>
    </w:p>
    <w:p>
      <w:pPr>
        <w:rPr>
          <w:rFonts w:ascii="仿宋" w:hAnsi="仿宋" w:eastAsia="仿宋"/>
          <w:sz w:val="32"/>
          <w:szCs w:val="32"/>
        </w:rPr>
      </w:pPr>
      <w:r>
        <w:rPr>
          <w:rFonts w:hint="eastAsia" w:ascii="仿宋" w:hAnsi="仿宋" w:eastAsia="仿宋"/>
          <w:b/>
          <w:sz w:val="32"/>
          <w:szCs w:val="32"/>
        </w:rPr>
        <w:t>(一)加强组织领导。</w:t>
      </w:r>
      <w:r>
        <w:rPr>
          <w:rFonts w:hint="eastAsia" w:ascii="仿宋" w:hAnsi="仿宋" w:eastAsia="仿宋"/>
          <w:sz w:val="32"/>
          <w:szCs w:val="32"/>
        </w:rPr>
        <w:t>“双随机、一公开”监管是党中央、国务院重点关注的改革举措，是政府深化改革的重要内容，是简政放权、放管结合、优化服务的重要抓手。要及时调整领导小组及成员，明确分工。局内相关业务股(室)，务必高度重视，加强对本股(室)及财政系统“双随机、一公开”监管工作的业务指导，统筹协调，建立健全相应工作机制，并制定好工作方案，细化目标任务和推进措施，确保工作落到实处。</w:t>
      </w:r>
    </w:p>
    <w:p>
      <w:pPr>
        <w:rPr>
          <w:rFonts w:ascii="仿宋" w:hAnsi="仿宋" w:eastAsia="仿宋"/>
          <w:sz w:val="32"/>
          <w:szCs w:val="32"/>
        </w:rPr>
      </w:pPr>
      <w:r>
        <w:rPr>
          <w:rFonts w:hint="eastAsia" w:ascii="仿宋" w:hAnsi="仿宋" w:eastAsia="仿宋"/>
          <w:b/>
          <w:sz w:val="32"/>
          <w:szCs w:val="32"/>
        </w:rPr>
        <w:t>(二)搞好协调配合</w:t>
      </w:r>
      <w:r>
        <w:rPr>
          <w:rFonts w:hint="eastAsia" w:ascii="仿宋" w:hAnsi="仿宋" w:eastAsia="仿宋"/>
          <w:sz w:val="32"/>
          <w:szCs w:val="32"/>
        </w:rPr>
        <w:t>。具有市场监管职能的股(办)，要充分</w:t>
      </w:r>
    </w:p>
    <w:p>
      <w:pPr>
        <w:rPr>
          <w:rFonts w:ascii="仿宋" w:hAnsi="仿宋" w:eastAsia="仿宋"/>
          <w:sz w:val="32"/>
          <w:szCs w:val="32"/>
        </w:rPr>
      </w:pPr>
      <w:r>
        <w:rPr>
          <w:rFonts w:hint="eastAsia" w:ascii="仿宋" w:hAnsi="仿宋" w:eastAsia="仿宋"/>
          <w:sz w:val="32"/>
          <w:szCs w:val="32"/>
        </w:rPr>
        <w:t>发挥好牵头作用，加强对“双随机、一公开”监管工作的指导、协调和调度。要搞好联络沟通，加强配合，形成合力，推进工作落实。</w:t>
      </w:r>
    </w:p>
    <w:p>
      <w:pPr>
        <w:rPr>
          <w:rFonts w:ascii="仿宋" w:hAnsi="仿宋" w:eastAsia="仿宋"/>
          <w:sz w:val="32"/>
          <w:szCs w:val="32"/>
        </w:rPr>
      </w:pPr>
      <w:r>
        <w:rPr>
          <w:rFonts w:hint="eastAsia" w:ascii="仿宋" w:hAnsi="仿宋" w:eastAsia="仿宋"/>
          <w:b/>
          <w:sz w:val="32"/>
          <w:szCs w:val="32"/>
        </w:rPr>
        <w:t>(三)及时对“一单两库”和“一细则”实施动态管理</w:t>
      </w:r>
      <w:r>
        <w:rPr>
          <w:rFonts w:hint="eastAsia" w:ascii="仿宋" w:hAnsi="仿宋" w:eastAsia="仿宋"/>
          <w:sz w:val="32"/>
          <w:szCs w:val="32"/>
        </w:rPr>
        <w:t>。确保</w:t>
      </w:r>
    </w:p>
    <w:p>
      <w:pPr>
        <w:rPr>
          <w:rFonts w:ascii="仿宋" w:hAnsi="仿宋" w:eastAsia="仿宋"/>
          <w:sz w:val="32"/>
          <w:szCs w:val="32"/>
        </w:rPr>
      </w:pPr>
      <w:r>
        <w:rPr>
          <w:rFonts w:hint="eastAsia" w:ascii="仿宋" w:hAnsi="仿宋" w:eastAsia="仿宋"/>
          <w:sz w:val="32"/>
          <w:szCs w:val="32"/>
        </w:rPr>
        <w:t>“一单”的及时性、准确性、完整性，并及时向社会公布。此项工作，由综合股负责，对我局“两库”特别是检査对象名录库要随时进行充实调整，确保监管不留死角和盲区。</w:t>
      </w:r>
    </w:p>
    <w:p>
      <w:pPr>
        <w:rPr>
          <w:rFonts w:ascii="仿宋" w:hAnsi="仿宋" w:eastAsia="仿宋"/>
          <w:sz w:val="32"/>
          <w:szCs w:val="32"/>
        </w:rPr>
      </w:pPr>
      <w:r>
        <w:rPr>
          <w:rFonts w:hint="eastAsia" w:ascii="仿宋" w:hAnsi="仿宋" w:eastAsia="仿宋"/>
          <w:sz w:val="32"/>
          <w:szCs w:val="32"/>
        </w:rPr>
        <w:t>(</w:t>
      </w:r>
    </w:p>
    <w:p>
      <w:pPr>
        <w:ind w:firstLine="3840" w:firstLineChars="1200"/>
        <w:rPr>
          <w:rFonts w:ascii="仿宋" w:hAnsi="仿宋" w:eastAsia="仿宋"/>
          <w:sz w:val="32"/>
          <w:szCs w:val="32"/>
        </w:rPr>
      </w:pPr>
      <w:r>
        <w:rPr>
          <w:rFonts w:hint="eastAsia" w:ascii="仿宋" w:hAnsi="仿宋" w:eastAsia="仿宋"/>
          <w:sz w:val="32"/>
          <w:szCs w:val="32"/>
        </w:rPr>
        <w:t>涞源县财政局</w:t>
      </w:r>
    </w:p>
    <w:p>
      <w:pPr>
        <w:ind w:firstLine="3520" w:firstLineChars="1100"/>
        <w:rPr>
          <w:rFonts w:ascii="仿宋" w:hAnsi="仿宋" w:eastAsia="仿宋"/>
          <w:sz w:val="32"/>
          <w:szCs w:val="32"/>
        </w:rPr>
      </w:pPr>
      <w:r>
        <w:rPr>
          <w:rFonts w:hint="eastAsia" w:ascii="仿宋" w:hAnsi="仿宋" w:eastAsia="仿宋"/>
          <w:sz w:val="32"/>
          <w:szCs w:val="32"/>
        </w:rPr>
        <w:t>202</w:t>
      </w:r>
      <w:r>
        <w:rPr>
          <w:rFonts w:hint="eastAsia" w:ascii="仿宋" w:hAnsi="仿宋" w:eastAsia="仿宋"/>
          <w:sz w:val="32"/>
          <w:szCs w:val="32"/>
          <w:lang w:val="en-US" w:eastAsia="zh-CN"/>
        </w:rPr>
        <w:t>1</w:t>
      </w:r>
      <w:r>
        <w:rPr>
          <w:rFonts w:hint="eastAsia" w:ascii="仿宋" w:hAnsi="仿宋" w:eastAsia="仿宋"/>
          <w:sz w:val="32"/>
          <w:szCs w:val="32"/>
        </w:rPr>
        <w:t>年</w:t>
      </w:r>
      <w:r>
        <w:rPr>
          <w:rFonts w:hint="eastAsia" w:ascii="仿宋" w:hAnsi="仿宋" w:eastAsia="仿宋"/>
          <w:sz w:val="32"/>
          <w:szCs w:val="32"/>
          <w:lang w:val="en-US" w:eastAsia="zh-CN"/>
        </w:rPr>
        <w:t>4</w:t>
      </w:r>
      <w:r>
        <w:rPr>
          <w:rFonts w:hint="eastAsia" w:ascii="仿宋" w:hAnsi="仿宋" w:eastAsia="仿宋"/>
          <w:sz w:val="32"/>
          <w:szCs w:val="32"/>
        </w:rPr>
        <w:t>月</w:t>
      </w:r>
      <w:r>
        <w:rPr>
          <w:rFonts w:hint="eastAsia" w:ascii="仿宋" w:hAnsi="仿宋" w:eastAsia="仿宋"/>
          <w:sz w:val="32"/>
          <w:szCs w:val="32"/>
          <w:lang w:val="en-US" w:eastAsia="zh-CN"/>
        </w:rPr>
        <w:t>23</w:t>
      </w:r>
      <w:bookmarkStart w:id="0" w:name="_GoBack"/>
      <w:bookmarkEnd w:id="0"/>
      <w:r>
        <w:rPr>
          <w:rFonts w:hint="eastAsia" w:ascii="仿宋" w:hAnsi="仿宋" w:eastAsia="仿宋"/>
          <w:sz w:val="32"/>
          <w:szCs w:val="32"/>
        </w:rPr>
        <w:t>日</w:t>
      </w:r>
    </w:p>
    <w:p>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4C9"/>
    <w:rsid w:val="000B6C95"/>
    <w:rsid w:val="004D2EEE"/>
    <w:rsid w:val="008A54C9"/>
    <w:rsid w:val="00CE6879"/>
    <w:rsid w:val="00CF19D1"/>
    <w:rsid w:val="00E022E3"/>
    <w:rsid w:val="00E8677D"/>
    <w:rsid w:val="219F3435"/>
    <w:rsid w:val="2E5363B2"/>
    <w:rsid w:val="5B3D237E"/>
    <w:rsid w:val="6E710ED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kern w:val="2"/>
      <w:sz w:val="18"/>
      <w:szCs w:val="18"/>
    </w:rPr>
  </w:style>
  <w:style w:type="character" w:customStyle="1" w:styleId="7">
    <w:name w:val="页脚 Char"/>
    <w:basedOn w:val="5"/>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2448</Words>
  <Characters>106</Characters>
  <Lines>1</Lines>
  <Paragraphs>5</Paragraphs>
  <TotalTime>14</TotalTime>
  <ScaleCrop>false</ScaleCrop>
  <LinksUpToDate>false</LinksUpToDate>
  <CharactersWithSpaces>2549</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2020-04-23T08:21:00Z</dcterms:created>
  <dc:creator>a</dc:creator>
  <cp:lastModifiedBy>a</cp:lastModifiedBy>
  <cp:lastPrinted>2021-12-17T07:18:05Z</cp:lastPrinted>
  <dcterms:modified xsi:type="dcterms:W3CDTF">2021-12-17T07:29:47Z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48700DB81D3847CCB8E463C2DC6FEA4E</vt:lpwstr>
  </property>
</Properties>
</file>