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D98C6A">
      <w:pPr>
        <w:spacing w:line="560" w:lineRule="exact"/>
        <w:jc w:val="center"/>
        <w:rPr>
          <w:rFonts w:ascii="宋体" w:eastAsia="宋体"/>
          <w:b w:val="0"/>
          <w:sz w:val="32"/>
          <w:szCs w:val="32"/>
          <w:lang w:eastAsia="zh-CN"/>
        </w:rPr>
      </w:pPr>
    </w:p>
    <w:p w14:paraId="58612709">
      <w:pPr>
        <w:spacing w:line="560" w:lineRule="exact"/>
        <w:jc w:val="center"/>
        <w:rPr>
          <w:rFonts w:ascii="宋体" w:eastAsia="宋体"/>
          <w:b w:val="0"/>
          <w:sz w:val="32"/>
          <w:szCs w:val="32"/>
          <w:lang w:eastAsia="zh-CN"/>
        </w:rPr>
      </w:pPr>
    </w:p>
    <w:p w14:paraId="6B8D4016">
      <w:pPr>
        <w:spacing w:line="560" w:lineRule="exact"/>
        <w:jc w:val="center"/>
        <w:rPr>
          <w:rFonts w:ascii="宋体" w:eastAsia="宋体"/>
          <w:b w:val="0"/>
          <w:sz w:val="32"/>
          <w:szCs w:val="32"/>
          <w:lang w:eastAsia="zh-CN"/>
        </w:rPr>
      </w:pPr>
    </w:p>
    <w:p w14:paraId="68CADB1F">
      <w:pPr>
        <w:spacing w:line="560" w:lineRule="exact"/>
        <w:jc w:val="center"/>
        <w:rPr>
          <w:rFonts w:ascii="宋体" w:eastAsia="宋体"/>
          <w:b w:val="0"/>
          <w:sz w:val="32"/>
          <w:szCs w:val="32"/>
          <w:lang w:eastAsia="zh-CN"/>
        </w:rPr>
      </w:pPr>
    </w:p>
    <w:p w14:paraId="25AF822A">
      <w:pPr>
        <w:spacing w:line="560" w:lineRule="exact"/>
        <w:jc w:val="center"/>
        <w:rPr>
          <w:rFonts w:ascii="宋体" w:eastAsia="宋体"/>
          <w:b w:val="0"/>
          <w:sz w:val="32"/>
          <w:szCs w:val="32"/>
          <w:lang w:eastAsia="zh-CN"/>
        </w:rPr>
      </w:pPr>
    </w:p>
    <w:p w14:paraId="09BBAC4E">
      <w:pPr>
        <w:spacing w:line="560" w:lineRule="exact"/>
        <w:jc w:val="center"/>
        <w:rPr>
          <w:rFonts w:ascii="宋体" w:eastAsia="宋体"/>
          <w:b w:val="0"/>
          <w:sz w:val="32"/>
          <w:szCs w:val="32"/>
          <w:lang w:eastAsia="zh-CN"/>
        </w:rPr>
      </w:pPr>
    </w:p>
    <w:p w14:paraId="28E6EF18">
      <w:pPr>
        <w:spacing w:line="560" w:lineRule="exact"/>
        <w:jc w:val="center"/>
        <w:rPr>
          <w:rFonts w:ascii="宋体" w:eastAsia="宋体"/>
          <w:b w:val="0"/>
          <w:sz w:val="32"/>
          <w:szCs w:val="32"/>
          <w:lang w:eastAsia="zh-CN"/>
        </w:rPr>
      </w:pPr>
    </w:p>
    <w:p w14:paraId="082CC948">
      <w:pPr>
        <w:jc w:val="center"/>
        <w:rPr>
          <w:rFonts w:ascii="宋体"/>
          <w:b w:val="0"/>
          <w:bCs/>
          <w:sz w:val="32"/>
          <w:szCs w:val="32"/>
        </w:rPr>
      </w:pPr>
      <w:r>
        <w:rPr>
          <w:rFonts w:ascii="宋体"/>
          <w:b w:val="0"/>
          <w:bCs/>
          <w:sz w:val="32"/>
          <w:szCs w:val="32"/>
        </w:rPr>
        <w:t>涞农【202</w:t>
      </w:r>
      <w:r>
        <w:rPr>
          <w:rFonts w:hint="eastAsia" w:ascii="宋体"/>
          <w:b w:val="0"/>
          <w:bCs/>
          <w:sz w:val="32"/>
          <w:szCs w:val="32"/>
          <w:lang w:val="en-US" w:eastAsia="zh-CN"/>
        </w:rPr>
        <w:t>6</w:t>
      </w:r>
      <w:r>
        <w:rPr>
          <w:rFonts w:ascii="宋体"/>
          <w:b w:val="0"/>
          <w:bCs/>
          <w:sz w:val="32"/>
          <w:szCs w:val="32"/>
        </w:rPr>
        <w:t>】</w:t>
      </w:r>
      <w:r>
        <w:rPr>
          <w:rFonts w:hint="eastAsia" w:ascii="宋体"/>
          <w:b w:val="0"/>
          <w:bCs/>
          <w:sz w:val="32"/>
          <w:szCs w:val="32"/>
          <w:lang w:val="en-US" w:eastAsia="zh-CN"/>
        </w:rPr>
        <w:t>5</w:t>
      </w:r>
      <w:r>
        <w:rPr>
          <w:rFonts w:ascii="宋体"/>
          <w:b w:val="0"/>
          <w:bCs/>
          <w:sz w:val="32"/>
          <w:szCs w:val="32"/>
        </w:rPr>
        <w:t>号</w:t>
      </w:r>
    </w:p>
    <w:p w14:paraId="2E52D783">
      <w:pPr>
        <w:jc w:val="center"/>
        <w:rPr>
          <w:rFonts w:ascii="宋体"/>
          <w:b/>
          <w:bCs/>
          <w:sz w:val="44"/>
          <w:szCs w:val="44"/>
        </w:rPr>
      </w:pPr>
    </w:p>
    <w:p w14:paraId="70377F94">
      <w:pPr>
        <w:jc w:val="center"/>
        <w:rPr>
          <w:rFonts w:hint="eastAsia" w:ascii="宋体"/>
          <w:b/>
          <w:bCs/>
          <w:sz w:val="44"/>
          <w:szCs w:val="44"/>
        </w:rPr>
      </w:pPr>
      <w:r>
        <w:rPr>
          <w:rFonts w:hint="eastAsia" w:ascii="宋体"/>
          <w:b/>
          <w:bCs/>
          <w:sz w:val="44"/>
          <w:szCs w:val="44"/>
        </w:rPr>
        <w:t>关于印发《202</w:t>
      </w:r>
      <w:r>
        <w:rPr>
          <w:rFonts w:hint="eastAsia" w:ascii="宋体"/>
          <w:b/>
          <w:bCs/>
          <w:sz w:val="44"/>
          <w:szCs w:val="44"/>
          <w:lang w:val="en-US" w:eastAsia="zh-CN"/>
        </w:rPr>
        <w:t>6</w:t>
      </w:r>
      <w:r>
        <w:rPr>
          <w:rFonts w:hint="eastAsia" w:ascii="宋体"/>
          <w:b/>
          <w:bCs/>
          <w:sz w:val="44"/>
          <w:szCs w:val="44"/>
        </w:rPr>
        <w:t>年涞源县农业农村局</w:t>
      </w:r>
    </w:p>
    <w:p w14:paraId="51E66FFD">
      <w:pPr>
        <w:jc w:val="center"/>
        <w:rPr>
          <w:rFonts w:hint="eastAsia" w:ascii="宋体"/>
          <w:b/>
          <w:bCs/>
          <w:sz w:val="44"/>
          <w:szCs w:val="44"/>
        </w:rPr>
      </w:pPr>
      <w:r>
        <w:rPr>
          <w:rFonts w:hint="eastAsia" w:ascii="宋体"/>
          <w:b/>
          <w:bCs/>
          <w:sz w:val="44"/>
          <w:szCs w:val="44"/>
        </w:rPr>
        <w:t>“双随机、一公开”监管工作实施方案》的通知</w:t>
      </w:r>
    </w:p>
    <w:p w14:paraId="37C755FD">
      <w:pPr>
        <w:rPr>
          <w:rFonts w:hint="eastAsia" w:ascii="仿宋" w:eastAsia="仿宋"/>
          <w:b w:val="0"/>
          <w:bCs/>
          <w:sz w:val="32"/>
          <w:szCs w:val="32"/>
        </w:rPr>
      </w:pPr>
      <w:r>
        <w:rPr>
          <w:rFonts w:hint="eastAsia" w:ascii="仿宋" w:eastAsia="仿宋"/>
          <w:b w:val="0"/>
          <w:bCs/>
          <w:sz w:val="32"/>
          <w:szCs w:val="32"/>
        </w:rPr>
        <w:t>各</w:t>
      </w:r>
      <w:r>
        <w:rPr>
          <w:rFonts w:ascii="仿宋" w:eastAsia="仿宋"/>
          <w:b w:val="0"/>
          <w:bCs/>
          <w:sz w:val="32"/>
          <w:szCs w:val="32"/>
        </w:rPr>
        <w:t>相关</w:t>
      </w:r>
      <w:r>
        <w:rPr>
          <w:rFonts w:hint="eastAsia" w:ascii="仿宋" w:eastAsia="仿宋"/>
          <w:b w:val="0"/>
          <w:bCs/>
          <w:sz w:val="32"/>
          <w:szCs w:val="32"/>
        </w:rPr>
        <w:t>股室：</w:t>
      </w:r>
    </w:p>
    <w:p w14:paraId="10443C39">
      <w:pPr>
        <w:ind w:firstLine="640" w:firstLineChars="200"/>
        <w:rPr>
          <w:rFonts w:hint="eastAsia" w:ascii="仿宋" w:eastAsia="仿宋"/>
          <w:b w:val="0"/>
          <w:bCs/>
          <w:sz w:val="32"/>
          <w:szCs w:val="32"/>
        </w:rPr>
      </w:pPr>
      <w:r>
        <w:rPr>
          <w:rFonts w:hint="eastAsia" w:ascii="仿宋" w:eastAsia="仿宋"/>
          <w:b w:val="0"/>
          <w:bCs/>
          <w:sz w:val="32"/>
          <w:szCs w:val="32"/>
        </w:rPr>
        <w:t>现将《202</w:t>
      </w:r>
      <w:r>
        <w:rPr>
          <w:rFonts w:hint="eastAsia" w:ascii="仿宋" w:eastAsia="仿宋"/>
          <w:b w:val="0"/>
          <w:bCs/>
          <w:sz w:val="32"/>
          <w:szCs w:val="32"/>
          <w:lang w:val="en-US" w:eastAsia="zh-CN"/>
        </w:rPr>
        <w:t>6</w:t>
      </w:r>
      <w:r>
        <w:rPr>
          <w:rFonts w:hint="eastAsia" w:ascii="仿宋" w:eastAsia="仿宋"/>
          <w:b w:val="0"/>
          <w:bCs/>
          <w:sz w:val="32"/>
          <w:szCs w:val="32"/>
        </w:rPr>
        <w:t>年涞源县农业农村局“双随机、一公开”监管工作实施方案》印发给你们，请结合本</w:t>
      </w:r>
      <w:r>
        <w:rPr>
          <w:rFonts w:ascii="仿宋" w:eastAsia="仿宋"/>
          <w:b w:val="0"/>
          <w:bCs/>
          <w:sz w:val="32"/>
          <w:szCs w:val="32"/>
        </w:rPr>
        <w:t>部门</w:t>
      </w:r>
      <w:r>
        <w:rPr>
          <w:rFonts w:hint="eastAsia" w:ascii="仿宋" w:eastAsia="仿宋"/>
          <w:b w:val="0"/>
          <w:bCs/>
          <w:sz w:val="32"/>
          <w:szCs w:val="32"/>
        </w:rPr>
        <w:t>实际，认真抓好落实。</w:t>
      </w:r>
    </w:p>
    <w:p w14:paraId="04E838B9">
      <w:pPr>
        <w:rPr>
          <w:rFonts w:hint="eastAsia" w:ascii="仿宋" w:eastAsia="仿宋"/>
          <w:b w:val="0"/>
          <w:bCs/>
          <w:sz w:val="32"/>
          <w:szCs w:val="32"/>
        </w:rPr>
      </w:pPr>
    </w:p>
    <w:p w14:paraId="30E438DD">
      <w:pPr>
        <w:rPr>
          <w:rFonts w:hint="eastAsia" w:ascii="仿宋" w:eastAsia="仿宋"/>
          <w:b w:val="0"/>
          <w:bCs/>
          <w:sz w:val="32"/>
          <w:szCs w:val="32"/>
        </w:rPr>
      </w:pPr>
    </w:p>
    <w:p w14:paraId="4D8D0BF6">
      <w:pPr>
        <w:rPr>
          <w:rFonts w:hint="eastAsia" w:ascii="仿宋" w:eastAsia="仿宋"/>
          <w:b w:val="0"/>
          <w:bCs/>
          <w:sz w:val="32"/>
          <w:szCs w:val="32"/>
        </w:rPr>
      </w:pPr>
    </w:p>
    <w:p w14:paraId="52488DDC">
      <w:pPr>
        <w:rPr>
          <w:rFonts w:hint="eastAsia" w:ascii="仿宋" w:eastAsia="仿宋"/>
          <w:b w:val="0"/>
          <w:bCs/>
          <w:sz w:val="32"/>
          <w:szCs w:val="32"/>
        </w:rPr>
      </w:pPr>
    </w:p>
    <w:p w14:paraId="56125A60">
      <w:pPr>
        <w:jc w:val="right"/>
        <w:rPr>
          <w:rFonts w:hint="eastAsia" w:ascii="仿宋" w:eastAsia="仿宋"/>
          <w:b w:val="0"/>
          <w:bCs/>
          <w:sz w:val="32"/>
          <w:szCs w:val="32"/>
        </w:rPr>
      </w:pPr>
      <w:r>
        <w:rPr>
          <w:rFonts w:hint="eastAsia" w:ascii="仿宋" w:eastAsia="仿宋"/>
          <w:b w:val="0"/>
          <w:bCs/>
          <w:sz w:val="32"/>
          <w:szCs w:val="32"/>
        </w:rPr>
        <w:t>涞源县农业农村局</w:t>
      </w:r>
    </w:p>
    <w:p w14:paraId="0B525E54">
      <w:pPr>
        <w:jc w:val="right"/>
        <w:rPr>
          <w:rFonts w:hint="eastAsia" w:ascii="仿宋" w:eastAsia="仿宋"/>
          <w:b w:val="0"/>
          <w:bCs/>
          <w:sz w:val="32"/>
          <w:szCs w:val="32"/>
        </w:rPr>
      </w:pPr>
      <w:r>
        <w:rPr>
          <w:rFonts w:hint="eastAsia" w:ascii="仿宋" w:eastAsia="仿宋"/>
          <w:b w:val="0"/>
          <w:bCs/>
          <w:sz w:val="32"/>
          <w:szCs w:val="32"/>
        </w:rPr>
        <w:t>202</w:t>
      </w:r>
      <w:r>
        <w:rPr>
          <w:rFonts w:hint="eastAsia" w:ascii="仿宋" w:eastAsia="仿宋"/>
          <w:b w:val="0"/>
          <w:bCs/>
          <w:sz w:val="32"/>
          <w:szCs w:val="32"/>
          <w:lang w:val="en-US" w:eastAsia="zh-CN"/>
        </w:rPr>
        <w:t>6</w:t>
      </w:r>
      <w:r>
        <w:rPr>
          <w:rFonts w:hint="eastAsia" w:ascii="仿宋" w:eastAsia="仿宋"/>
          <w:b w:val="0"/>
          <w:bCs/>
          <w:sz w:val="32"/>
          <w:szCs w:val="32"/>
        </w:rPr>
        <w:t>年</w:t>
      </w:r>
      <w:r>
        <w:rPr>
          <w:rFonts w:hint="eastAsia" w:ascii="仿宋" w:eastAsia="仿宋"/>
          <w:b w:val="0"/>
          <w:bCs/>
          <w:sz w:val="32"/>
          <w:szCs w:val="32"/>
          <w:lang w:val="en-US" w:eastAsia="zh-CN"/>
        </w:rPr>
        <w:t>2</w:t>
      </w:r>
      <w:r>
        <w:rPr>
          <w:rFonts w:hint="eastAsia" w:ascii="仿宋" w:eastAsia="仿宋"/>
          <w:b w:val="0"/>
          <w:bCs/>
          <w:sz w:val="32"/>
          <w:szCs w:val="32"/>
        </w:rPr>
        <w:t>月</w:t>
      </w:r>
      <w:r>
        <w:rPr>
          <w:rFonts w:hint="eastAsia" w:ascii="仿宋" w:eastAsia="仿宋"/>
          <w:b w:val="0"/>
          <w:bCs/>
          <w:sz w:val="32"/>
          <w:szCs w:val="32"/>
          <w:lang w:val="en-US" w:eastAsia="zh-CN"/>
        </w:rPr>
        <w:t>27</w:t>
      </w:r>
      <w:r>
        <w:rPr>
          <w:rFonts w:hint="eastAsia" w:ascii="仿宋" w:eastAsia="仿宋"/>
          <w:b w:val="0"/>
          <w:bCs/>
          <w:sz w:val="32"/>
          <w:szCs w:val="32"/>
        </w:rPr>
        <w:t>日</w:t>
      </w:r>
    </w:p>
    <w:p w14:paraId="2BDB258C">
      <w:pPr>
        <w:jc w:val="right"/>
        <w:rPr>
          <w:rFonts w:hint="eastAsia" w:ascii="仿宋" w:eastAsia="仿宋"/>
          <w:b w:val="0"/>
          <w:bCs/>
          <w:sz w:val="32"/>
          <w:szCs w:val="32"/>
        </w:rPr>
      </w:pPr>
    </w:p>
    <w:p w14:paraId="085B3252">
      <w:pPr>
        <w:jc w:val="center"/>
        <w:rPr>
          <w:rFonts w:ascii="宋体"/>
          <w:sz w:val="44"/>
          <w:szCs w:val="44"/>
        </w:rPr>
      </w:pPr>
      <w:r>
        <w:rPr>
          <w:rFonts w:hint="eastAsia" w:ascii="宋体"/>
          <w:sz w:val="44"/>
          <w:szCs w:val="44"/>
        </w:rPr>
        <w:t>20</w:t>
      </w:r>
      <w:r>
        <w:rPr>
          <w:rFonts w:hint="eastAsia" w:ascii="宋体"/>
          <w:sz w:val="44"/>
          <w:szCs w:val="44"/>
          <w:lang w:val="en-US" w:eastAsia="zh-CN"/>
        </w:rPr>
        <w:t>26</w:t>
      </w:r>
      <w:r>
        <w:rPr>
          <w:rFonts w:hint="eastAsia" w:ascii="宋体"/>
          <w:sz w:val="44"/>
          <w:szCs w:val="44"/>
        </w:rPr>
        <w:t>年涞源县农业农村局</w:t>
      </w:r>
    </w:p>
    <w:p w14:paraId="56C92423">
      <w:pPr>
        <w:jc w:val="center"/>
        <w:rPr>
          <w:rFonts w:ascii="宋体"/>
          <w:sz w:val="44"/>
          <w:szCs w:val="44"/>
        </w:rPr>
      </w:pPr>
      <w:r>
        <w:rPr>
          <w:rFonts w:hint="eastAsia" w:ascii="宋体"/>
          <w:sz w:val="44"/>
          <w:szCs w:val="44"/>
        </w:rPr>
        <w:t>“双随机、一公开”监管工作实施方案</w:t>
      </w:r>
    </w:p>
    <w:p w14:paraId="26E24708">
      <w:pPr>
        <w:jc w:val="both"/>
        <w:rPr>
          <w:rFonts w:hint="eastAsia" w:ascii="仿宋" w:eastAsia="仿宋"/>
          <w:b w:val="0"/>
          <w:bCs/>
          <w:sz w:val="32"/>
          <w:szCs w:val="32"/>
        </w:rPr>
      </w:pPr>
    </w:p>
    <w:p w14:paraId="2B6810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为深入贯彻落实国家、省、市关于优化营商环境部署要求，持续深化“双随机、一公开”监管，提升监管效能，</w:t>
      </w: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</w:rPr>
        <w:t>根据相关文件要求，结合本单位实际，制定本方案。</w:t>
      </w:r>
    </w:p>
    <w:p w14:paraId="5FC0438E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宋体" w:hAnsi="宋体" w:eastAsia="宋体" w:cs="宋体"/>
          <w:b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sz w:val="32"/>
          <w:szCs w:val="32"/>
          <w:lang w:val="en-US" w:eastAsia="zh-CN"/>
        </w:rPr>
        <w:t>工作思路</w:t>
      </w:r>
    </w:p>
    <w:p w14:paraId="20502AC9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持续深化部门联合抽查，进一步拓展“一业一查”部门联合模式，不断扩大部门联合随机抽查的覆盖面、占比率，切实减少涉企检查频次。在随机抽查后处理上要求实效，及时对检查发现的问题，要依法依规调查处理，督促整改到位，提高发现问题立案率，形成监管闭环。</w:t>
      </w:r>
    </w:p>
    <w:p w14:paraId="77E4D296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持续推进差异化抽查，巩固企业信用风险分类结果在“双随机、一公开”监管中常态化运用，结合投诉举报、舆情监测、风险预警等情形，进一步拓展、深化运用场景，提升监管执法效能。</w:t>
      </w:r>
      <w:bookmarkStart w:id="0" w:name="_GoBack"/>
      <w:bookmarkEnd w:id="0"/>
    </w:p>
    <w:p w14:paraId="2A7DBA60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进一步规范检查行为，回应经营主体和社会关切，有效防止多头检查、重复检查、避免随意、任性、运动式检查。</w:t>
      </w:r>
    </w:p>
    <w:p w14:paraId="391A7EC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eastAsia" w:ascii="宋体" w:hAnsi="宋体" w:eastAsia="宋体" w:cs="宋体"/>
          <w:b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sz w:val="32"/>
          <w:szCs w:val="32"/>
          <w:lang w:val="en-US" w:eastAsia="zh-CN"/>
        </w:rPr>
        <w:t>主要工作任务</w:t>
      </w:r>
    </w:p>
    <w:p w14:paraId="60D72184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夯实工作基础。依托河北省双随机执法监管平台，持续完善“一单两库一指引”。严格落实对行政执法检查实施主体“四个严禁”要求，动态调整检查对象名录库和执法检查人员名录库，确保“应纳尽纳”。依托升级后的标注体系，科学、准确地对检查对象和执法人员进行分类标注，实现对检查对象的精准抽取、执法人员和精准匹配。</w:t>
      </w:r>
    </w:p>
    <w:p w14:paraId="543116F4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深化联合监管。强化跨部门间的协调联动，建立完善长效联合抽查工作机制，确保实现“能联合实施的不得重复检查、能联合实施的不得多头检查”。全面深化“一业一查”部门联合抽查模式，以全省“一业一查”部门联合随机抽查事项清单为指导，充分结合本部门实际组织开展部门联合随机抽查，推动部门联合抽查常态化，切实压减涉企检查频次，在确保监管效能的前提下不断减少对企业正常经营活动的干扰。</w:t>
      </w:r>
    </w:p>
    <w:p w14:paraId="47A37FFF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规范实施检查。严格计划实施。结合工作实际，科学合理制定年度抽查工作计划，及时向社会公开，并严格按照年度抽查工作计划实施。严格工作流程。要认真落实《河北省双随机工作规范》要求，防止在任务制定、开展检查、结果录入、审核公示等工作环节出现超时违规问题。严格“扫码入企”。根据省司法厅的统一安排，严格“扫码入企”，规范执法人员入企检查行为。严格闭环监管。健全随机抽查后续处置机制，规范问题线索的转办、移送工作，按照“谁监管、谁负责”的原则实施持续监管，实现监管闭环。加强与信用监管的衔接，加大对抽查发现的违法失信行为的信用惩戒力度，增强随机抽查的震慑力。</w:t>
      </w:r>
    </w:p>
    <w:p w14:paraId="58E468C2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提升监管效能。严格落实查前准备和查前业务培训等工作制度，切实提高检查的针对性和执法人员的业务能力，提升抽查检查质效。</w:t>
      </w:r>
    </w:p>
    <w:p w14:paraId="5FBDEDF1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强化服务意识。大力推行服务型执法，在抽查检查过程中开展相关法律法规政策宣教、合规经营指导，并及时回应经营主体有关问题及诉求。</w:t>
      </w:r>
    </w:p>
    <w:p w14:paraId="229D020F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eastAsia" w:ascii="宋体" w:hAnsi="宋体" w:eastAsia="宋体" w:cs="宋体"/>
          <w:b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 w:val="0"/>
          <w:sz w:val="32"/>
          <w:szCs w:val="32"/>
          <w:lang w:val="en-US" w:eastAsia="zh-CN"/>
        </w:rPr>
        <w:t>工作要求</w:t>
      </w:r>
    </w:p>
    <w:p w14:paraId="369CD8F0"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提高思想认识，加强组织领导。充分认识全面深化“双随机、一公开”监管的重要意义，加强组织领导和统筹协调，健全工作制度和运行机制，细化工作目标和推进举措，确保工作任务落到实处、取得实效。</w:t>
      </w:r>
    </w:p>
    <w:p w14:paraId="4276AD9F"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落实主体责任，强化指导监管。强化对随机抽查工作全流程管控，积极推行随机抽查回访机制，严格按照《国务院办公厅关于严格规范涉企行政检查的意见》（国办发【2024】54号）中“五个严禁”“八个不得”的要求开展抽查，防止企业反映强烈、社会影响恶劣事件的发生。</w:t>
      </w:r>
    </w:p>
    <w:p w14:paraId="04A2F9B2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联 系 人：马娟  卢霞</w:t>
      </w:r>
    </w:p>
    <w:p w14:paraId="3F105CF6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联系电话：7321776</w:t>
      </w:r>
    </w:p>
    <w:p w14:paraId="65D18301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  <w:t>电子邮箱：lynmjbgs@126.com</w:t>
      </w:r>
    </w:p>
    <w:p w14:paraId="5028DE7E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</w:p>
    <w:p w14:paraId="0CFDED7C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</w:p>
    <w:p w14:paraId="76813E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6A537F5"/>
    <w:multiLevelType w:val="singleLevel"/>
    <w:tmpl w:val="96A537F5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C21BA33E"/>
    <w:multiLevelType w:val="singleLevel"/>
    <w:tmpl w:val="C21BA33E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2">
    <w:nsid w:val="5F07A7A7"/>
    <w:multiLevelType w:val="singleLevel"/>
    <w:tmpl w:val="5F07A7A7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3">
    <w:nsid w:val="6230810E"/>
    <w:multiLevelType w:val="singleLevel"/>
    <w:tmpl w:val="6230810E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5FB49F9"/>
    <w:rsid w:val="1B866360"/>
    <w:rsid w:val="41490798"/>
    <w:rsid w:val="5EEB3AB5"/>
    <w:rsid w:val="74C40C65"/>
    <w:rsid w:val="79711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b/>
      <w:kern w:val="2"/>
      <w:sz w:val="44"/>
      <w:szCs w:val="21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2325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2026-01-15T07:56:00Z</dcterms:created>
  <dc:creator>dh</dc:creator>
  <cp:lastModifiedBy>立春</cp:lastModifiedBy>
  <dcterms:modified xsi:type="dcterms:W3CDTF">2026-03-25T01:55:29Z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3367B22FF2564D99922D392CB4DC9447_12</vt:lpwstr>
  </property>
  <property fmtid="{D5CDD505-2E9C-101B-9397-08002B2CF9AE}" pid="4" name="KSOTemplateDocerSaveRecord">
    <vt:lpwstr>eyJoZGlkIjoiMTUyMWFhZThiMjU2MDk3NzcwMjVjZTY0M2Q4NDAxNWQiLCJ1c2VySWQiOiI2NDQ3NzQ4NDgifQ==</vt:lpwstr>
  </property>
</Properties>
</file>