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D687B0">
      <w:pPr>
        <w:ind w:firstLine="2640" w:firstLineChars="600"/>
        <w:jc w:val="both"/>
        <w:rPr>
          <w:rFonts w:hint="eastAsia" w:ascii="黑体" w:eastAsia="黑体"/>
          <w:sz w:val="44"/>
          <w:szCs w:val="44"/>
        </w:rPr>
      </w:pPr>
      <w:r>
        <w:rPr>
          <w:rFonts w:hint="eastAsia" w:ascii="黑体" w:eastAsia="黑体"/>
          <w:sz w:val="44"/>
          <w:szCs w:val="44"/>
        </w:rPr>
        <w:t>涞源县农业农村局</w:t>
      </w:r>
    </w:p>
    <w:p w14:paraId="304D432E">
      <w:pPr>
        <w:jc w:val="center"/>
        <w:rPr>
          <w:rFonts w:hint="eastAsia" w:ascii="黑体" w:eastAsia="黑体"/>
          <w:sz w:val="44"/>
          <w:szCs w:val="44"/>
        </w:rPr>
      </w:pPr>
      <w:r>
        <w:rPr>
          <w:rFonts w:hint="eastAsia" w:ascii="黑体" w:eastAsia="黑体"/>
          <w:sz w:val="44"/>
          <w:szCs w:val="44"/>
          <w:lang w:val="en-US" w:eastAsia="zh-CN"/>
        </w:rPr>
        <w:t>关于</w:t>
      </w:r>
      <w:r>
        <w:rPr>
          <w:rFonts w:hint="eastAsia" w:ascii="黑体" w:eastAsia="黑体"/>
          <w:sz w:val="44"/>
          <w:szCs w:val="44"/>
        </w:rPr>
        <w:t>2023年度法治政府建设</w:t>
      </w:r>
    </w:p>
    <w:p w14:paraId="74FD51A5">
      <w:pPr>
        <w:jc w:val="center"/>
        <w:rPr>
          <w:rFonts w:hint="eastAsia" w:ascii="黑体" w:eastAsia="黑体"/>
          <w:sz w:val="44"/>
          <w:szCs w:val="44"/>
        </w:rPr>
      </w:pPr>
      <w:bookmarkStart w:id="1" w:name="_GoBack"/>
      <w:bookmarkEnd w:id="1"/>
      <w:r>
        <w:rPr>
          <w:rFonts w:hint="eastAsia" w:ascii="黑体" w:eastAsia="黑体"/>
          <w:sz w:val="44"/>
          <w:szCs w:val="44"/>
          <w:lang w:val="en-US" w:eastAsia="zh-CN"/>
        </w:rPr>
        <w:t>情况的</w:t>
      </w:r>
      <w:r>
        <w:rPr>
          <w:rFonts w:hint="eastAsia" w:ascii="黑体" w:eastAsia="黑体"/>
          <w:sz w:val="44"/>
          <w:szCs w:val="44"/>
        </w:rPr>
        <w:t>报告</w:t>
      </w:r>
    </w:p>
    <w:p w14:paraId="32DF209D">
      <w:pPr>
        <w:ind w:firstLine="640" w:firstLineChars="200"/>
        <w:rPr>
          <w:rFonts w:hint="eastAsia" w:ascii="仿宋" w:eastAsia="仿宋"/>
          <w:sz w:val="32"/>
          <w:szCs w:val="32"/>
        </w:rPr>
      </w:pPr>
      <w:bookmarkStart w:id="0" w:name="OLE_LINK1"/>
      <w:r>
        <w:rPr>
          <w:rFonts w:hint="eastAsia" w:ascii="仿宋" w:eastAsia="仿宋"/>
          <w:sz w:val="32"/>
          <w:szCs w:val="32"/>
        </w:rPr>
        <w:t>2023年在县委、县政府的坚强领导下，县农业农村局深入学习贯彻习近平法治思想，全面落实省市县法治建设工作部署，坚持依法决策，推进依法行政，全力打造良好的法治环境。现将2023年法治政府建设工作报告如下：</w:t>
      </w:r>
    </w:p>
    <w:p w14:paraId="5D25BC74">
      <w:pPr>
        <w:ind w:firstLine="643" w:firstLineChars="200"/>
        <w:rPr>
          <w:rFonts w:hint="eastAsia" w:ascii="仿宋" w:eastAsia="仿宋"/>
          <w:b/>
          <w:bCs/>
          <w:sz w:val="32"/>
          <w:szCs w:val="32"/>
        </w:rPr>
      </w:pPr>
      <w:r>
        <w:rPr>
          <w:rFonts w:hint="eastAsia" w:ascii="仿宋" w:eastAsia="仿宋"/>
          <w:b/>
          <w:bCs/>
          <w:sz w:val="32"/>
          <w:szCs w:val="32"/>
        </w:rPr>
        <w:t>一、法治工作开展及落实情况</w:t>
      </w:r>
    </w:p>
    <w:p w14:paraId="66FCCB80">
      <w:pPr>
        <w:ind w:firstLine="640" w:firstLineChars="200"/>
        <w:rPr>
          <w:rFonts w:hint="eastAsia" w:ascii="仿宋" w:eastAsia="仿宋"/>
          <w:sz w:val="32"/>
          <w:szCs w:val="32"/>
        </w:rPr>
      </w:pPr>
      <w:r>
        <w:rPr>
          <w:rFonts w:hint="eastAsia" w:ascii="仿宋" w:eastAsia="仿宋"/>
          <w:sz w:val="32"/>
          <w:szCs w:val="32"/>
        </w:rPr>
        <w:t>（一）严格落实法治政府建设的第一责任人职责。局主要领导履行推进法治建设第一责任人职责列入年终述职内容将法治政府建设摆在全局工作的重要位置，切实履行第一责任人职责，充分发挥法治政府建设领导班子作用，研究部署法治政府建设、行政执法监督、法治宣传等方面工作，并纳入全局年度工作要点。</w:t>
      </w:r>
    </w:p>
    <w:p w14:paraId="4554F299">
      <w:pPr>
        <w:ind w:firstLine="640" w:firstLineChars="200"/>
        <w:rPr>
          <w:rFonts w:hint="eastAsia" w:ascii="仿宋" w:eastAsia="仿宋"/>
          <w:sz w:val="32"/>
          <w:szCs w:val="32"/>
        </w:rPr>
      </w:pPr>
      <w:r>
        <w:rPr>
          <w:rFonts w:hint="eastAsia" w:ascii="仿宋" w:eastAsia="仿宋"/>
          <w:sz w:val="32"/>
          <w:szCs w:val="32"/>
        </w:rPr>
        <w:t>（二）认真落实党员领导干部普法教育制度。首先是党员干部带头学好法、用好法，完善了党组学法制度。将《宪法》、《中国共产党章程》、《干部管理条例》、《行政处罚法》、《民法典》及《畜牧法》、《种子法》《乡村振兴促进法》、《动物防疫法》、《渔业法》等农业法律法规知识纳入学习的重要内容；局党组理论学习中心组每年至少安排两次以上集体学法活动，进一步强化局系统干部的法治意识，提升运用法治思维解决问题的能力，不断提升依法行政水平。</w:t>
      </w:r>
    </w:p>
    <w:p w14:paraId="221F1D28">
      <w:pPr>
        <w:ind w:firstLine="640" w:firstLineChars="200"/>
        <w:rPr>
          <w:rFonts w:hint="eastAsia" w:ascii="仿宋" w:eastAsia="仿宋"/>
          <w:sz w:val="32"/>
          <w:szCs w:val="32"/>
        </w:rPr>
      </w:pPr>
      <w:r>
        <w:rPr>
          <w:rFonts w:hint="eastAsia" w:ascii="仿宋" w:eastAsia="仿宋"/>
          <w:sz w:val="32"/>
          <w:szCs w:val="32"/>
        </w:rPr>
        <w:t>（三）落实法律顾问制度。积极发挥法律顾问决策咨询论证作用，聘请河北驰迈律师事务所李勇律师为我局的法律顾问，对我局规范性文件审核、重大执法决定提供专业的法律意见，有效降低决策风险，提高决策质量。</w:t>
      </w:r>
    </w:p>
    <w:p w14:paraId="053EEEB1">
      <w:pPr>
        <w:spacing w:line="600" w:lineRule="exact"/>
        <w:ind w:firstLine="640" w:firstLineChars="200"/>
        <w:rPr>
          <w:rFonts w:hint="eastAsia" w:ascii="仿宋" w:eastAsia="仿宋"/>
          <w:sz w:val="32"/>
          <w:szCs w:val="32"/>
        </w:rPr>
      </w:pPr>
      <w:r>
        <w:rPr>
          <w:rFonts w:hint="eastAsia" w:ascii="仿宋" w:eastAsia="仿宋"/>
          <w:sz w:val="32"/>
          <w:szCs w:val="32"/>
        </w:rPr>
        <w:t>（四）严格落实“谁执法谁普法”普法责任制。制定了年度普法工作计划和“谁执法谁普法”责任清单，将普法与日常工作相结合，广泛宣传国家有关法律法规和行业内的法律法规，为企业传递法律知识，加强企业法律意识，对企业遇到业务上的问题及时进行解答和反馈。</w:t>
      </w:r>
    </w:p>
    <w:p w14:paraId="03D3B3E6">
      <w:pPr>
        <w:ind w:firstLine="640" w:firstLineChars="200"/>
        <w:rPr>
          <w:rFonts w:hint="eastAsia" w:ascii="仿宋" w:eastAsia="仿宋"/>
          <w:sz w:val="32"/>
          <w:szCs w:val="32"/>
        </w:rPr>
      </w:pPr>
      <w:r>
        <w:rPr>
          <w:rFonts w:hint="eastAsia" w:ascii="仿宋" w:eastAsia="仿宋"/>
          <w:sz w:val="32"/>
          <w:szCs w:val="32"/>
        </w:rPr>
        <w:t>（五）建立优化营商环境长效机制。制定“首办负责和代办领办负责制”管理制度，按照精简申请材料、减少办事环节、缩短办理时限的原则，切实提高营商环境服务满意度。</w:t>
      </w:r>
    </w:p>
    <w:p w14:paraId="5615D561">
      <w:pPr>
        <w:spacing w:line="600" w:lineRule="exact"/>
        <w:ind w:firstLine="640" w:firstLineChars="200"/>
        <w:rPr>
          <w:rFonts w:hint="eastAsia" w:ascii="仿宋" w:eastAsia="仿宋"/>
          <w:sz w:val="32"/>
          <w:szCs w:val="32"/>
        </w:rPr>
      </w:pPr>
      <w:r>
        <w:rPr>
          <w:rFonts w:ascii="仿宋" w:eastAsia="仿宋"/>
          <w:sz w:val="32"/>
          <w:szCs w:val="32"/>
        </w:rPr>
        <w:t>（六）</w:t>
      </w:r>
      <w:r>
        <w:rPr>
          <w:rFonts w:hint="eastAsia" w:ascii="仿宋" w:eastAsia="仿宋"/>
          <w:sz w:val="32"/>
          <w:szCs w:val="32"/>
        </w:rPr>
        <w:t>加大农业领域执法力度。组织开展农资打假，畜禽屠宰、动物卫生监督、农产品监督抽查四大专项执法行动，聚</w:t>
      </w:r>
      <w:r>
        <w:rPr>
          <w:rFonts w:ascii="仿宋" w:eastAsia="仿宋"/>
          <w:sz w:val="32"/>
          <w:szCs w:val="32"/>
        </w:rPr>
        <w:t>焦</w:t>
      </w:r>
      <w:r>
        <w:rPr>
          <w:rFonts w:hint="eastAsia" w:ascii="仿宋" w:eastAsia="仿宋"/>
          <w:sz w:val="32"/>
          <w:szCs w:val="32"/>
        </w:rPr>
        <w:t>执法办案主</w:t>
      </w:r>
      <w:r>
        <w:rPr>
          <w:rFonts w:ascii="仿宋" w:eastAsia="仿宋"/>
          <w:sz w:val="32"/>
          <w:szCs w:val="32"/>
        </w:rPr>
        <w:t>体</w:t>
      </w:r>
      <w:r>
        <w:rPr>
          <w:rFonts w:hint="eastAsia" w:ascii="仿宋" w:eastAsia="仿宋"/>
          <w:sz w:val="32"/>
          <w:szCs w:val="32"/>
        </w:rPr>
        <w:t>，加大执法办案力度，严厉打击农业领域违法行为，为维护健康、安全、有序的农业生产经营环境和市场秩序提供执法保障。截至目前，我局共查处行政处罚案件12起，涉案金额2.45万元。</w:t>
      </w:r>
    </w:p>
    <w:p w14:paraId="41698161">
      <w:pPr>
        <w:ind w:firstLine="640" w:firstLineChars="200"/>
        <w:rPr>
          <w:rFonts w:hint="eastAsia" w:ascii="仿宋" w:eastAsia="仿宋"/>
          <w:sz w:val="32"/>
          <w:szCs w:val="32"/>
        </w:rPr>
      </w:pPr>
      <w:r>
        <w:rPr>
          <w:rFonts w:hint="eastAsia" w:ascii="仿宋" w:eastAsia="仿宋"/>
          <w:sz w:val="32"/>
          <w:szCs w:val="32"/>
        </w:rPr>
        <w:t>（</w:t>
      </w:r>
      <w:r>
        <w:rPr>
          <w:rFonts w:ascii="仿宋" w:eastAsia="仿宋"/>
          <w:sz w:val="32"/>
          <w:szCs w:val="32"/>
        </w:rPr>
        <w:t>七</w:t>
      </w:r>
      <w:r>
        <w:rPr>
          <w:rFonts w:hint="eastAsia" w:ascii="仿宋" w:eastAsia="仿宋"/>
          <w:sz w:val="32"/>
          <w:szCs w:val="32"/>
        </w:rPr>
        <w:t>）深入推进“双随机、一公开”监管工作。根据《2023年涞源县“双随机、一公开”监管工作实施方案》，制定《2023年涞源县农业农村局随机抽查方案》，双随机抽取农资销售单位、农机维修单位、畜禽养殖企业、屠宰和饲料生产企业、鱼场六领域检查对象和执法检查员，强化主体自律和社会监督，推进农业监管执法信息公开，公开监管执法的依据、内容、标准、程序和处罚结果，100％完成本年度任务。</w:t>
      </w:r>
    </w:p>
    <w:p w14:paraId="3CDBDA01">
      <w:pPr>
        <w:spacing w:line="600" w:lineRule="exact"/>
        <w:ind w:firstLine="640" w:firstLineChars="200"/>
        <w:rPr>
          <w:rFonts w:hint="eastAsia" w:ascii="仿宋" w:eastAsia="仿宋"/>
          <w:sz w:val="32"/>
          <w:szCs w:val="32"/>
        </w:rPr>
      </w:pPr>
      <w:r>
        <w:rPr>
          <w:rFonts w:hint="eastAsia" w:ascii="仿宋" w:eastAsia="仿宋"/>
          <w:sz w:val="32"/>
          <w:szCs w:val="32"/>
        </w:rPr>
        <w:t>（</w:t>
      </w:r>
      <w:r>
        <w:rPr>
          <w:rFonts w:ascii="仿宋" w:eastAsia="仿宋"/>
          <w:sz w:val="32"/>
          <w:szCs w:val="32"/>
        </w:rPr>
        <w:t>八</w:t>
      </w:r>
      <w:r>
        <w:rPr>
          <w:rFonts w:hint="eastAsia" w:ascii="仿宋" w:eastAsia="仿宋"/>
          <w:sz w:val="32"/>
          <w:szCs w:val="32"/>
        </w:rPr>
        <w:t>）认真落实法治乡村建设要求。按照上级有关要求，开展农村“学法用法示范户”培育工作，将示范户培育工作纳入重点工作台账。推动“法治带头人”“法律</w:t>
      </w:r>
      <w:r>
        <w:rPr>
          <w:rFonts w:ascii="仿宋" w:eastAsia="仿宋"/>
          <w:sz w:val="32"/>
          <w:szCs w:val="32"/>
        </w:rPr>
        <w:t>明白人</w:t>
      </w:r>
      <w:r>
        <w:rPr>
          <w:rFonts w:hint="eastAsia" w:ascii="仿宋" w:eastAsia="仿宋"/>
          <w:sz w:val="32"/>
          <w:szCs w:val="32"/>
        </w:rPr>
        <w:t>”成为基层普法宣传、法律服务、纠纷化解、依法治理的重要力量。截至2023年11月底已完成70%的备案登记，明年全部完成示范户备案工作。</w:t>
      </w:r>
    </w:p>
    <w:p w14:paraId="6335F386">
      <w:pPr>
        <w:ind w:firstLine="640" w:firstLineChars="200"/>
        <w:rPr>
          <w:rFonts w:hint="eastAsia" w:ascii="仿宋" w:eastAsia="仿宋"/>
          <w:sz w:val="32"/>
          <w:szCs w:val="32"/>
        </w:rPr>
      </w:pPr>
      <w:r>
        <w:rPr>
          <w:rFonts w:hint="eastAsia" w:ascii="仿宋" w:eastAsia="仿宋"/>
          <w:sz w:val="32"/>
          <w:szCs w:val="32"/>
        </w:rPr>
        <w:t>（</w:t>
      </w:r>
      <w:r>
        <w:rPr>
          <w:rFonts w:ascii="仿宋" w:eastAsia="仿宋"/>
          <w:sz w:val="32"/>
          <w:szCs w:val="32"/>
        </w:rPr>
        <w:t>九</w:t>
      </w:r>
      <w:r>
        <w:rPr>
          <w:rFonts w:hint="eastAsia" w:ascii="仿宋" w:eastAsia="仿宋"/>
          <w:sz w:val="32"/>
          <w:szCs w:val="32"/>
        </w:rPr>
        <w:t>）加强普法宣传，提升法治意识。我局执法人员充分借助《民法典》宣传月和春防、秋防、农次打假等时间节点，宣传并解读《中华人民共和国民法典》《中华人民共和国宪法》、习近平法治思想等内容。同时向群众发放行业内的《中华人民共和国畜牧法》《中华人民共和国动物防疫法》《中华人民共和国农产品质量安全法》内容的宣传资料，加大“法律进村入户”宣传活动力度，提高全民法治意识和法律素养。</w:t>
      </w:r>
    </w:p>
    <w:p w14:paraId="4A4947A3">
      <w:pPr>
        <w:ind w:firstLine="643" w:firstLineChars="200"/>
        <w:rPr>
          <w:rFonts w:hint="eastAsia" w:ascii="仿宋" w:eastAsia="仿宋"/>
          <w:b/>
          <w:bCs/>
          <w:sz w:val="32"/>
          <w:szCs w:val="32"/>
        </w:rPr>
      </w:pPr>
      <w:r>
        <w:rPr>
          <w:rFonts w:hint="eastAsia" w:ascii="仿宋" w:eastAsia="仿宋"/>
          <w:b/>
          <w:bCs/>
          <w:sz w:val="32"/>
          <w:szCs w:val="32"/>
        </w:rPr>
        <w:t>二、存在的问题</w:t>
      </w:r>
    </w:p>
    <w:p w14:paraId="112DC8F0">
      <w:pPr>
        <w:spacing w:line="600" w:lineRule="exact"/>
        <w:ind w:firstLine="640" w:firstLineChars="200"/>
        <w:rPr>
          <w:rFonts w:hint="eastAsia" w:ascii="仿宋" w:eastAsia="仿宋"/>
          <w:sz w:val="32"/>
          <w:szCs w:val="32"/>
        </w:rPr>
      </w:pPr>
      <w:r>
        <w:rPr>
          <w:rFonts w:hint="eastAsia" w:ascii="仿宋" w:eastAsia="仿宋"/>
          <w:sz w:val="32"/>
          <w:szCs w:val="32"/>
        </w:rPr>
        <w:t>（一）执法队伍人员年龄偏大，法律知识储备不足，执法人员执法能力有待提升。</w:t>
      </w:r>
    </w:p>
    <w:p w14:paraId="4EDC78A4">
      <w:pPr>
        <w:ind w:firstLine="640" w:firstLineChars="200"/>
        <w:rPr>
          <w:rFonts w:hint="eastAsia" w:ascii="仿宋" w:eastAsia="仿宋"/>
          <w:sz w:val="32"/>
          <w:szCs w:val="32"/>
        </w:rPr>
      </w:pPr>
      <w:r>
        <w:rPr>
          <w:rFonts w:hint="eastAsia" w:ascii="仿宋" w:eastAsia="仿宋"/>
          <w:sz w:val="32"/>
          <w:szCs w:val="32"/>
        </w:rPr>
        <w:t>（二）执法经费短缺，执法设备落后。不能很好满足执法工作需要</w:t>
      </w:r>
      <w:r>
        <w:rPr>
          <w:rFonts w:ascii="仿宋" w:eastAsia="仿宋"/>
          <w:sz w:val="32"/>
          <w:szCs w:val="32"/>
        </w:rPr>
        <w:t>。</w:t>
      </w:r>
    </w:p>
    <w:p w14:paraId="4184BCF9">
      <w:pPr>
        <w:ind w:firstLine="643" w:firstLineChars="200"/>
        <w:rPr>
          <w:rFonts w:hint="eastAsia" w:ascii="仿宋" w:eastAsia="仿宋"/>
          <w:b/>
          <w:bCs/>
          <w:sz w:val="32"/>
          <w:szCs w:val="32"/>
        </w:rPr>
      </w:pPr>
      <w:r>
        <w:rPr>
          <w:rFonts w:hint="eastAsia" w:ascii="仿宋" w:eastAsia="仿宋"/>
          <w:b/>
          <w:bCs/>
          <w:sz w:val="32"/>
          <w:szCs w:val="32"/>
        </w:rPr>
        <w:t>三、下一步工作</w:t>
      </w:r>
    </w:p>
    <w:p w14:paraId="48F64C65">
      <w:pPr>
        <w:ind w:firstLine="640" w:firstLineChars="200"/>
        <w:rPr>
          <w:rFonts w:hint="eastAsia" w:ascii="仿宋" w:eastAsia="仿宋"/>
          <w:sz w:val="32"/>
          <w:szCs w:val="32"/>
        </w:rPr>
      </w:pPr>
      <w:r>
        <w:rPr>
          <w:rFonts w:hint="eastAsia" w:ascii="仿宋" w:eastAsia="仿宋"/>
          <w:sz w:val="32"/>
          <w:szCs w:val="32"/>
        </w:rPr>
        <w:t>（一）继续深化法治教育培训，丰富内容、载体和形式，注重学法用法能力培养，提高法治思维创新力。</w:t>
      </w:r>
    </w:p>
    <w:p w14:paraId="6DE56584">
      <w:pPr>
        <w:ind w:firstLine="640" w:firstLineChars="200"/>
        <w:rPr>
          <w:rFonts w:hint="eastAsia" w:ascii="仿宋" w:eastAsia="仿宋"/>
          <w:sz w:val="32"/>
          <w:szCs w:val="32"/>
        </w:rPr>
      </w:pPr>
      <w:r>
        <w:rPr>
          <w:rFonts w:hint="eastAsia" w:ascii="仿宋" w:eastAsia="仿宋"/>
          <w:sz w:val="32"/>
          <w:szCs w:val="32"/>
        </w:rPr>
        <w:t>（二）紧紧围绕农业农村中心工作，注重培育新时代农业领域法治队伍人才建设，打造一支高素质的普法执法队伍。</w:t>
      </w:r>
    </w:p>
    <w:p w14:paraId="3D64F0AD">
      <w:pPr>
        <w:ind w:firstLine="640" w:firstLineChars="200"/>
        <w:rPr>
          <w:rFonts w:hint="eastAsia" w:ascii="仿宋" w:eastAsia="仿宋"/>
          <w:sz w:val="32"/>
          <w:szCs w:val="32"/>
        </w:rPr>
      </w:pPr>
    </w:p>
    <w:bookmarkEnd w:id="0"/>
    <w:p w14:paraId="6B523061">
      <w:pPr>
        <w:ind w:firstLine="640" w:firstLineChars="200"/>
        <w:rPr>
          <w:rFonts w:hint="eastAsia" w:ascii="仿宋" w:eastAsia="仿宋"/>
          <w:sz w:val="32"/>
          <w:szCs w:val="32"/>
        </w:rPr>
      </w:pPr>
      <w:r>
        <w:rPr>
          <w:rFonts w:hint="eastAsia" w:ascii="仿宋" w:eastAsia="仿宋"/>
          <w:sz w:val="32"/>
          <w:szCs w:val="32"/>
        </w:rPr>
        <w:t> </w:t>
      </w:r>
    </w:p>
    <w:p w14:paraId="5A363C40">
      <w:pPr>
        <w:ind w:firstLine="4160" w:firstLineChars="1300"/>
        <w:rPr>
          <w:rFonts w:hint="eastAsia" w:ascii="仿宋" w:eastAsia="仿宋"/>
          <w:sz w:val="32"/>
          <w:szCs w:val="32"/>
        </w:rPr>
      </w:pPr>
      <w:r>
        <w:rPr>
          <w:rFonts w:ascii="仿宋" w:eastAsia="仿宋"/>
          <w:sz w:val="32"/>
          <w:szCs w:val="32"/>
        </w:rPr>
        <w:t>202</w:t>
      </w:r>
      <w:r>
        <w:rPr>
          <w:rFonts w:hint="eastAsia" w:ascii="仿宋" w:eastAsia="仿宋"/>
          <w:sz w:val="32"/>
          <w:szCs w:val="32"/>
          <w:lang w:val="en-US" w:eastAsia="zh-CN"/>
        </w:rPr>
        <w:t>4</w:t>
      </w:r>
      <w:r>
        <w:rPr>
          <w:rFonts w:ascii="仿宋" w:eastAsia="仿宋"/>
          <w:sz w:val="32"/>
          <w:szCs w:val="32"/>
        </w:rPr>
        <w:t>年2月</w:t>
      </w:r>
      <w:r>
        <w:rPr>
          <w:rFonts w:hint="eastAsia" w:ascii="仿宋" w:eastAsia="仿宋"/>
          <w:sz w:val="32"/>
          <w:szCs w:val="32"/>
          <w:lang w:val="en-US" w:eastAsia="zh-CN"/>
        </w:rPr>
        <w:t>10</w:t>
      </w:r>
      <w:r>
        <w:rPr>
          <w:rFonts w:ascii="仿宋" w:eastAsia="仿宋"/>
          <w:sz w:val="32"/>
          <w:szCs w:val="32"/>
        </w:rPr>
        <w:t>日</w:t>
      </w:r>
    </w:p>
    <w:p w14:paraId="7805AD1E">
      <w:pPr>
        <w:ind w:firstLine="640" w:firstLineChars="200"/>
        <w:rPr>
          <w:rFonts w:hint="eastAsia" w:ascii="仿宋" w:eastAsia="仿宋"/>
          <w:sz w:val="32"/>
          <w:szCs w:val="32"/>
        </w:rPr>
      </w:pPr>
      <w:r>
        <w:rPr>
          <w:rFonts w:hint="eastAsia" w:ascii="仿宋" w:eastAsia="仿宋"/>
          <w:sz w:val="32"/>
          <w:szCs w:val="32"/>
        </w:rPr>
        <w:t> </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noPunctuationKerning w:val="1"/>
  <w:noLineBreaksAfter w:lang="zh-CN" w:val="$([{£¥·‘“〈《「『【〔〖〝﹙﹛﹝＄（．［｛￡￥"/>
  <w:noLineBreaksBefore w:lang="zh-CN" w:val="!%),.:;&gt;?]}¢¨°·ˇˉ―‖’”…‰′″›℃∶、。〃〉》」』】〕〗〞︶︺︾﹀﹄﹚﹜﹞！＂％＇），．：；？］｀｜｝～￠"/>
  <w:compat>
    <w:spaceForUL/>
    <w:balanceSingleByteDoubleByteWidth/>
    <w:ulTrailSpace/>
    <w:doNotExpandShiftReturn/>
    <w:adjustLineHeightInTable/>
    <w:useFELayout/>
    <w:compatSetting w:name="compatibilityMode" w:uri="http://schemas.microsoft.com/office/word" w:val="15"/>
  </w:compat>
  <w:docVars>
    <w:docVar w:name="commondata" w:val="eyJoZGlkIjoiMTUyMWFhZThiMjU2MDk3NzcwMjVjZTY0M2Q4NDAxNWQifQ=="/>
  </w:docVars>
  <w:rsids>
    <w:rsidRoot w:val="00000000"/>
    <w:rsid w:val="0EF06E29"/>
    <w:rsid w:val="1FD47FE6"/>
    <w:rsid w:val="33E1419A"/>
    <w:rsid w:val="4234796B"/>
    <w:rsid w:val="42462248"/>
    <w:rsid w:val="60A2774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Calibri" w:hAnsi="Calibri" w:eastAsia="宋体" w:cs="Arial"/>
      <w:kern w:val="2"/>
      <w:sz w:val="21"/>
      <w:szCs w:val="22"/>
      <w:lang w:val="en-US" w:eastAsia="zh-CN" w:bidi="ar-SA"/>
    </w:rPr>
  </w:style>
  <w:style w:type="paragraph" w:styleId="2">
    <w:name w:val="heading 1"/>
    <w:basedOn w:val="1"/>
    <w:next w:val="1"/>
    <w:qFormat/>
    <w:uiPriority w:val="0"/>
    <w:pPr>
      <w:keepNext/>
      <w:keepLines/>
      <w:widowControl w:val="0"/>
      <w:spacing w:before="340" w:after="330" w:line="578" w:lineRule="auto"/>
      <w:outlineLvl w:val="0"/>
    </w:pPr>
    <w:rPr>
      <w:b/>
      <w:bCs/>
      <w:kern w:val="44"/>
      <w:sz w:val="44"/>
      <w:szCs w:val="44"/>
    </w:rPr>
  </w:style>
  <w:style w:type="paragraph" w:styleId="3">
    <w:name w:val="heading 2"/>
    <w:basedOn w:val="1"/>
    <w:next w:val="1"/>
    <w:uiPriority w:val="0"/>
    <w:pPr>
      <w:keepNext/>
      <w:keepLines/>
      <w:widowControl w:val="0"/>
      <w:spacing w:before="260" w:after="260" w:line="415" w:lineRule="auto"/>
      <w:outlineLvl w:val="1"/>
    </w:pPr>
    <w:rPr>
      <w:rFonts w:ascii="Times New Roman" w:hAnsi="Times New Roman" w:eastAsia="黑体"/>
      <w:b/>
      <w:bCs/>
      <w:sz w:val="32"/>
      <w:szCs w:val="32"/>
    </w:rPr>
  </w:style>
  <w:style w:type="paragraph" w:styleId="4">
    <w:name w:val="heading 3"/>
    <w:basedOn w:val="1"/>
    <w:next w:val="1"/>
    <w:qFormat/>
    <w:uiPriority w:val="0"/>
    <w:pPr>
      <w:keepNext/>
      <w:keepLines/>
      <w:widowControl w:val="0"/>
      <w:spacing w:before="260" w:after="260" w:line="415" w:lineRule="auto"/>
      <w:outlineLvl w:val="2"/>
    </w:pPr>
    <w:rPr>
      <w:b/>
      <w:bCs/>
      <w:sz w:val="32"/>
      <w:szCs w:val="32"/>
    </w:rPr>
  </w:style>
  <w:style w:type="character" w:default="1" w:styleId="6">
    <w:name w:val="Default Paragraph Font"/>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7">
    <w:name w:val="No Spacing"/>
    <w:qFormat/>
    <w:uiPriority w:val="0"/>
    <w:pPr>
      <w:adjustRightInd w:val="0"/>
      <w:snapToGrid w:val="0"/>
      <w:spacing w:after="0" w:line="240" w:lineRule="auto"/>
    </w:pPr>
    <w:rPr>
      <w:rFonts w:ascii="Tahoma" w:hAnsi="Tahoma" w:eastAsia="微软雅黑" w:cs="Arial"/>
      <w:sz w:val="22"/>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Normal.eit</Template>
  <Company>Yozosoft</Company>
  <Pages>4</Pages>
  <Words>1596</Words>
  <Characters>1627</Characters>
  <Lines>86</Lines>
  <Paragraphs>23</Paragraphs>
  <TotalTime>6071</TotalTime>
  <ScaleCrop>false</ScaleCrop>
  <LinksUpToDate>false</LinksUpToDate>
  <CharactersWithSpaces>1627</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2021-05-08T07:28:00Z</dcterms:created>
  <dc:creator>User274</dc:creator>
  <cp:lastModifiedBy>立春</cp:lastModifiedBy>
  <cp:lastPrinted>2023-12-04T03:22:00Z</cp:lastPrinted>
  <dcterms:modified xsi:type="dcterms:W3CDTF">2026-09-29T06:35:56Z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CE2080C70DB24F14B00E3779B36A5515_12</vt:lpwstr>
  </property>
  <property fmtid="{D5CDD505-2E9C-101B-9397-08002B2CF9AE}" pid="4" name="KSOTemplateDocerSaveRecord">
    <vt:lpwstr>eyJoZGlkIjoiMTUyMWFhZThiMjU2MDk3NzcwMjVjZTY0M2Q4NDAxNWQiLCJ1c2VySWQiOiI2NDQ3NzQ4NDgifQ==</vt:lpwstr>
  </property>
</Properties>
</file>