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河北涞源经济开发区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default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2022年建设发展情况总结及2023年工作谋划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（2022年12月16日）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涞源经济开发区</w:t>
      </w:r>
      <w:r>
        <w:rPr>
          <w:rFonts w:hint="eastAsia" w:ascii="仿宋" w:hAnsi="仿宋" w:eastAsia="仿宋" w:cs="仿宋"/>
          <w:sz w:val="32"/>
          <w:szCs w:val="32"/>
        </w:rPr>
        <w:t>站位京雄保一体化发展新格局，牢牢把握“激情奋进十四五、再造一个新保定”工作主线，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紧紧</w:t>
      </w:r>
      <w:r>
        <w:rPr>
          <w:rFonts w:hint="eastAsia" w:ascii="仿宋" w:hAnsi="仿宋" w:eastAsia="仿宋" w:cs="仿宋"/>
          <w:sz w:val="32"/>
          <w:szCs w:val="32"/>
        </w:rPr>
        <w:t>围绕建设“新时代经济强县、品质涞源”战略目标，按照“规划体系求规范、基础设施抓提升、项目建设促投产、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改革发展求突破</w:t>
      </w:r>
      <w:r>
        <w:rPr>
          <w:rFonts w:hint="eastAsia" w:ascii="仿宋" w:hAnsi="仿宋" w:eastAsia="仿宋" w:cs="仿宋"/>
          <w:sz w:val="32"/>
          <w:szCs w:val="32"/>
        </w:rPr>
        <w:t>”的总体思路，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狠抓各项工作取得新进展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开发区建设发展步入</w:t>
      </w:r>
      <w:r>
        <w:rPr>
          <w:rFonts w:hint="eastAsia" w:ascii="仿宋" w:hAnsi="仿宋" w:eastAsia="仿宋" w:cs="仿宋"/>
          <w:sz w:val="32"/>
          <w:szCs w:val="32"/>
        </w:rPr>
        <w:t>良性轨道。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24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4"/>
          <w:kern w:val="0"/>
          <w:sz w:val="32"/>
          <w:szCs w:val="32"/>
          <w:lang w:val="en-US" w:eastAsia="zh-CN" w:bidi="en-US"/>
        </w:rPr>
      </w:pPr>
      <w:r>
        <w:rPr>
          <w:rFonts w:hint="eastAsia" w:ascii="黑体" w:hAnsi="黑体" w:eastAsia="黑体" w:cs="黑体"/>
          <w:b w:val="0"/>
          <w:bCs w:val="0"/>
          <w:color w:val="auto"/>
          <w:spacing w:val="-4"/>
          <w:kern w:val="0"/>
          <w:sz w:val="32"/>
          <w:szCs w:val="32"/>
          <w:lang w:val="en-US" w:eastAsia="zh-CN" w:bidi="en-US"/>
        </w:rPr>
        <w:t>一、2022年总体工作开展情况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（一）挖潜培新，经济指标平稳增长。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，我们紧紧围绕省级开发区考核、经济指标运行监测，以市“月点评”问题为导向，科学研判各项经济指标，挖潜培新，应统尽统，各项指标稳中求进。截止目前，入统企业43家，其中四上企业24家。1-10月份营业收入56.7559亿元，营业收入增长率35.92%；税收收入3.2061亿元，固定资产投资20.5017亿元。预计全年完成工业总产值61.5亿元，增长率30%；税收完成3.58亿元，增长率8%；营业收入完成64.6亿元，增长率28.5%；固定资产投入完成21亿元，增长率29%。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2021年度全省省级经济开发区考核中</w:t>
      </w:r>
      <w:r>
        <w:rPr>
          <w:rFonts w:hint="eastAsia" w:ascii="仿宋" w:hAnsi="仿宋" w:eastAsia="仿宋" w:cs="仿宋"/>
          <w:sz w:val="32"/>
          <w:szCs w:val="32"/>
          <w:u w:val="none"/>
        </w:rPr>
        <w:t>，涞源经济开发区在“重点生态功能区域”类别中，排名第13位，较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2020年</w:t>
      </w:r>
      <w:r>
        <w:rPr>
          <w:rFonts w:hint="eastAsia" w:ascii="仿宋" w:hAnsi="仿宋" w:eastAsia="仿宋" w:cs="仿宋"/>
          <w:sz w:val="32"/>
          <w:szCs w:val="32"/>
          <w:u w:val="none"/>
        </w:rPr>
        <w:t>前进11个位次。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（二）科学精准，规划体系进一步完善。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委托中国城市发展研究院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重新编制“四规一案”规划体系，导入“产城融合”发展理念，增加了M0柔性功能用地，功能布局为“</w:t>
      </w:r>
      <w:r>
        <w:rPr>
          <w:rFonts w:hint="eastAsia" w:ascii="仿宋" w:hAnsi="仿宋" w:eastAsia="仿宋" w:cs="仿宋"/>
          <w:b/>
          <w:bCs/>
          <w:color w:val="auto"/>
          <w:kern w:val="0"/>
          <w:sz w:val="32"/>
          <w:szCs w:val="32"/>
          <w:lang w:val="en-US" w:eastAsia="zh-CN" w:bidi="ar"/>
        </w:rPr>
        <w:t>一心、一轴、两廊、五片区”，</w:t>
      </w:r>
      <w:r>
        <w:rPr>
          <w:rFonts w:hint="eastAsia" w:ascii="仿宋" w:hAnsi="仿宋" w:eastAsia="仿宋" w:cs="仿宋"/>
          <w:b w:val="0"/>
          <w:bCs w:val="0"/>
          <w:color w:val="000000"/>
          <w:sz w:val="32"/>
          <w:szCs w:val="32"/>
          <w:lang w:val="en-US" w:eastAsia="zh-CN"/>
        </w:rPr>
        <w:t>开发区产业发展规划、总体规划于1月13日通过专家评审，正在结合新的国土空间规划进行优化；借助国土空间规划“三区三线”调整之机，划定开发区城镇开发边界，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新</w:t>
      </w:r>
      <w:r>
        <w:rPr>
          <w:rFonts w:hint="eastAsia" w:ascii="仿宋" w:hAnsi="仿宋" w:eastAsia="仿宋" w:cs="仿宋"/>
          <w:b w:val="0"/>
          <w:bCs w:val="0"/>
          <w:color w:val="auto"/>
          <w:kern w:val="0"/>
          <w:sz w:val="32"/>
          <w:szCs w:val="32"/>
          <w:lang w:val="en-US" w:eastAsia="zh-CN" w:bidi="ar"/>
        </w:rPr>
        <w:t>调整后的城镇开发边界面积为8255.1亩，比原有建设用地面积5807.1亩新增了2448亩，最大程度留足未来建设发展空间。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leftChars="0" w:firstLine="643" w:firstLineChars="200"/>
        <w:jc w:val="both"/>
        <w:textAlignment w:val="auto"/>
        <w:rPr>
          <w:rFonts w:hint="eastAsia" w:ascii="仿宋" w:hAnsi="仿宋" w:eastAsia="仿宋" w:cs="仿宋"/>
          <w:bCs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（三）依法决策，高效有序解决历史遗留问题。</w:t>
      </w: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完成奥宇钢铁公司资产拍卖。</w:t>
      </w:r>
      <w:r>
        <w:rPr>
          <w:rFonts w:hint="eastAsia" w:ascii="仿宋" w:hAnsi="仿宋" w:eastAsia="仿宋" w:cs="仿宋"/>
          <w:bCs/>
          <w:szCs w:val="32"/>
          <w:lang w:val="en-US" w:eastAsia="zh-CN"/>
        </w:rPr>
        <w:t>至2021年10月，县政府尚欠奥宇钢铁公司退出补偿款</w:t>
      </w:r>
      <w:r>
        <w:rPr>
          <w:rFonts w:hint="eastAsia" w:ascii="仿宋" w:hAnsi="仿宋" w:eastAsia="仿宋" w:cs="仿宋"/>
          <w:bCs/>
          <w:szCs w:val="32"/>
        </w:rPr>
        <w:t>4.48亿元</w:t>
      </w:r>
      <w:r>
        <w:rPr>
          <w:rFonts w:hint="eastAsia" w:ascii="仿宋" w:hAnsi="仿宋" w:eastAsia="仿宋" w:cs="仿宋"/>
          <w:bCs/>
          <w:szCs w:val="32"/>
          <w:lang w:val="en-US" w:eastAsia="zh-CN"/>
        </w:rPr>
        <w:t>，企业反映强烈，省、市高度关注，县委、县政府积极作为，开发区勇于担当，</w:t>
      </w:r>
      <w:r>
        <w:rPr>
          <w:rFonts w:hint="eastAsia" w:ascii="仿宋" w:hAnsi="仿宋" w:eastAsia="仿宋" w:cs="仿宋"/>
          <w:bCs/>
          <w:szCs w:val="32"/>
        </w:rPr>
        <w:t>按照“三重一大”的决策程序</w:t>
      </w:r>
      <w:r>
        <w:rPr>
          <w:rFonts w:hint="eastAsia" w:ascii="仿宋" w:hAnsi="仿宋" w:eastAsia="仿宋" w:cs="仿宋"/>
          <w:bCs/>
          <w:szCs w:val="32"/>
          <w:lang w:val="en-US" w:eastAsia="zh-CN"/>
        </w:rPr>
        <w:t>依法公开拍卖，</w:t>
      </w:r>
      <w:r>
        <w:rPr>
          <w:rFonts w:hint="eastAsia" w:ascii="仿宋" w:hAnsi="仿宋" w:eastAsia="仿宋" w:cs="仿宋"/>
          <w:bCs/>
          <w:szCs w:val="32"/>
        </w:rPr>
        <w:t>3月1日</w:t>
      </w:r>
      <w:r>
        <w:rPr>
          <w:rFonts w:hint="eastAsia" w:ascii="仿宋" w:hAnsi="仿宋" w:eastAsia="仿宋" w:cs="仿宋"/>
          <w:bCs/>
          <w:szCs w:val="32"/>
          <w:lang w:val="en-US" w:eastAsia="zh-CN"/>
        </w:rPr>
        <w:t>由湖北赛福机械有限公司以2.77亿元买受，开创了省内少有、我市唯一民企资产收归国有、依法公开拍卖的先例，</w:t>
      </w:r>
      <w:r>
        <w:rPr>
          <w:rFonts w:hint="eastAsia" w:ascii="仿宋" w:hAnsi="仿宋" w:eastAsia="仿宋" w:cs="仿宋"/>
          <w:bCs/>
          <w:szCs w:val="32"/>
        </w:rPr>
        <w:t>实现了市委、企业、社会的多方满意</w:t>
      </w:r>
      <w:r>
        <w:rPr>
          <w:rFonts w:hint="eastAsia" w:ascii="仿宋" w:hAnsi="仿宋" w:eastAsia="仿宋" w:cs="仿宋"/>
          <w:bCs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szCs w:val="32"/>
          <w:lang w:val="en-US" w:eastAsia="zh-CN"/>
        </w:rPr>
        <w:t>目前正在积极筹划腾空土地盘活。</w:t>
      </w:r>
      <w:r>
        <w:rPr>
          <w:rFonts w:hint="eastAsia" w:ascii="仿宋" w:hAnsi="仿宋" w:eastAsia="仿宋" w:cs="仿宋"/>
          <w:b/>
          <w:bCs w:val="0"/>
          <w:szCs w:val="32"/>
          <w:lang w:val="en-US" w:eastAsia="zh-CN"/>
        </w:rPr>
        <w:t>批准项目初设概算。</w:t>
      </w:r>
      <w:r>
        <w:rPr>
          <w:rFonts w:hint="eastAsia" w:ascii="仿宋" w:hAnsi="仿宋" w:eastAsia="仿宋" w:cs="仿宋"/>
          <w:bCs/>
          <w:szCs w:val="32"/>
          <w:lang w:val="en-US" w:eastAsia="zh-CN"/>
        </w:rPr>
        <w:t>开发区基础设施、同光晶体标准化厂房两个项目，均为“十三五”脱贫攻坚期间以“边建边批”的政策推进，进入“十四五”以来，政策调整，经县委、县政府依法决策，分别于4月、6月批准了开发区基础设施初设概算17.8亿元，同光晶体标准厂房4.45亿元，保证了项目实施的规范化。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both"/>
        <w:rPr>
          <w:rFonts w:hint="default" w:ascii="仿宋" w:hAnsi="仿宋" w:eastAsia="仿宋" w:cs="仿宋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（四）持续发力，加快推进基础设施建设。</w:t>
      </w:r>
      <w:r>
        <w:rPr>
          <w:rFonts w:hint="eastAsia" w:ascii="仿宋" w:hAnsi="仿宋" w:eastAsia="仿宋" w:cs="仿宋"/>
          <w:sz w:val="32"/>
          <w:szCs w:val="32"/>
        </w:rPr>
        <w:t>基础设施项目自2020年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至今</w:t>
      </w:r>
      <w:r>
        <w:rPr>
          <w:rFonts w:hint="eastAsia" w:ascii="仿宋" w:hAnsi="仿宋" w:eastAsia="仿宋" w:cs="仿宋"/>
          <w:sz w:val="32"/>
          <w:szCs w:val="32"/>
        </w:rPr>
        <w:t>累计到位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专项债券资金</w:t>
      </w:r>
      <w:r>
        <w:rPr>
          <w:rFonts w:hint="eastAsia" w:ascii="仿宋" w:hAnsi="仿宋" w:eastAsia="仿宋" w:cs="仿宋"/>
          <w:sz w:val="32"/>
          <w:szCs w:val="32"/>
        </w:rPr>
        <w:t>5.63亿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bidi="ar"/>
        </w:rPr>
        <w:t>元，其中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 w:bidi="ar"/>
        </w:rPr>
        <w:t>2022年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bidi="ar"/>
        </w:rPr>
        <w:t>到位2亿元。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 w:bidi="ar"/>
        </w:rPr>
        <w:t>2022年，实施了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bidi="ar"/>
        </w:rPr>
        <w:t>2个续建项目（北区主干路、净水厂），2个新开工项目（108国道改建、净水厂配套设施），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 w:bidi="ar"/>
        </w:rPr>
        <w:t>目前，主干路北区段（除涉铁项目外）、108国道改造提升段均完成主体工程建设，达到通车条件；净水厂及取水配套主体工程完工，完成设备安装。基础设施全年新增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bidi="ar"/>
        </w:rPr>
        <w:t>完成投资21575万元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eastAsia="zh-CN" w:bidi="ar"/>
        </w:rPr>
        <w:t>。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主干路涉铁项目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已完成方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案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设计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、施工图设计、施工图预算的复核、审批，工程总预算2255万元，正在组织签订相关合同，抓紧进场施工。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（五）抓住机遇，谋划实施标准化科创园项目。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 w:bidi="ar"/>
        </w:rPr>
        <w:t>抓住国家政策机遇，谋划包装标准化科创园项目，总投资5.65亿元，申报专项债券资金4.5亿元，2022年到位3亿元。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2022年7月完成了全部项目审批手续，并进场开工</w:t>
      </w:r>
      <w:r>
        <w:rPr>
          <w:rFonts w:hint="eastAsia" w:ascii="仿宋" w:hAnsi="仿宋" w:eastAsia="仿宋" w:cs="仿宋"/>
          <w:bCs/>
          <w:color w:val="000000"/>
          <w:kern w:val="0"/>
          <w:sz w:val="32"/>
          <w:szCs w:val="32"/>
          <w:lang w:val="en-US" w:eastAsia="zh-CN" w:bidi="ar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建设周期两年，现已完成全部单体基础浇筑，预计2023年7月部分功能性结构将陆续投入使用。该项目的建成将根本解决轻资产类项目落地难问题，对于培育优化产业生态、提高综合配套能力、搭建产业平台具有历史性意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（六）提升服务，加快推进产业项目建设。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一年来，我们通过推进党工委成员项目包联责任首问制，开展“送政策、送服务、促发展”活动、银企对接活动、“三冰会”区内企业产品展促活动、“清风护航行动”等系列活动，持续优化营商环境，先后解决了道路亮化、公交车通行、甲村部队道路平交等具体问题，帮助在建企业融资到位800万元。这些举措进一步提振了企业信心。2022年，两个续建项目累计完成投资1.89亿元，其中：同光晶体项目二期配套工程于8月份已完工并交付使用，完成投资1.12亿元；桃木疙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瘩屠宰厂项目生产性主体结构已完工，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完成投资0.77亿元，</w:t>
      </w:r>
      <w:r>
        <w:rPr>
          <w:rFonts w:hint="eastAsia" w:ascii="仿宋" w:hAnsi="仿宋" w:eastAsia="仿宋" w:cs="Times New Roman"/>
          <w:sz w:val="32"/>
          <w:szCs w:val="32"/>
          <w:lang w:val="en-US" w:eastAsia="zh-CN"/>
        </w:rPr>
        <w:t>预计2023年5月竣工。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一个新开工项目驷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乾新能源光伏组件，厂</w:t>
      </w:r>
      <w:r>
        <w:rPr>
          <w:rFonts w:hint="eastAsia" w:ascii="仿宋" w:hAnsi="仿宋" w:eastAsia="仿宋" w:cs="仿宋"/>
          <w:bCs/>
          <w:sz w:val="32"/>
          <w:szCs w:val="32"/>
          <w:lang w:val="en-US" w:eastAsia="zh-CN"/>
        </w:rPr>
        <w:t>区全部构筑物主体结构已建成，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完成投资0.31亿元。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（七）多措并举，狠抓招商引资见成效。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我县经济开发区起步晚、基础薄、承载力低，招商引资一直是困绕我们的一大难题，针对这种情况，我们采取第三方代理招商、合作共建、精准招商等方式，多措并举，强力突破。先后到北京、天津、雄安、石家庄等开展招商15次，共对接项目87个，其中：委托招商26个、以商招商15个、自主招商21个、“资源+”招商25个。至目前，新签约落地项目4个，签约投资额8.05亿元，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誉柯防水建材生产项目计划总投资3.8亿元，氢阳制氢项目计划总投资1.05亿元，巽欣锂离子电池制造项目计划总投资2亿元，千喜鹤中央厨房项目计划投资1.2亿元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），四个项目的土地使用费（区片地价）、社保、风险基金已由企业全部垫付到位，正在组卷报批，预计明年3月份完成摘牌。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有意向入驻的重资产类项目3个</w:t>
      </w:r>
      <w:r>
        <w:rPr>
          <w:rFonts w:hint="eastAsia" w:ascii="仿宋" w:hAnsi="仿宋" w:eastAsia="仿宋" w:cs="仿宋"/>
          <w:b/>
          <w:bCs/>
          <w:sz w:val="32"/>
          <w:szCs w:val="32"/>
          <w:vertAlign w:val="baseline"/>
          <w:lang w:val="en-US" w:eastAsia="zh-CN"/>
        </w:rPr>
        <w:t>（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中材绿建超低能耗被动式节能建筑产业园项目一期计划投资8亿元，占地200亩；</w:t>
      </w:r>
      <w:r>
        <w:rPr>
          <w:rFonts w:hint="eastAsia" w:ascii="楷体" w:hAnsi="楷体" w:eastAsia="楷体" w:cs="楷体"/>
          <w:sz w:val="30"/>
          <w:szCs w:val="30"/>
          <w:vertAlign w:val="baseline"/>
          <w:lang w:val="en-US" w:eastAsia="zh-CN"/>
        </w:rPr>
        <w:t>河北知行合一电器设备制造项目计划投资1.5亿元，占地50亩；乾城绿色建材产业园项目计划投资5.8亿元，占地200亩</w:t>
      </w:r>
      <w:r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  <w:t>）。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有意向入驻科创园轻资产项目3个</w:t>
      </w:r>
      <w:r>
        <w:rPr>
          <w:rFonts w:hint="eastAsia" w:ascii="仿宋" w:hAnsi="仿宋" w:eastAsia="仿宋" w:cs="仿宋"/>
          <w:b/>
          <w:bCs/>
          <w:sz w:val="32"/>
          <w:szCs w:val="32"/>
          <w:vertAlign w:val="baseline"/>
          <w:lang w:val="en-US" w:eastAsia="zh-CN"/>
        </w:rPr>
        <w:t>（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江苏国科智能光伏组件生产线项目计划设备投资3000万元；香河富都华创家具制造有限公司现代家居制造项目，计划投资8000万元；中科纳米新材料产业园项目导入“社会资本+微纳米技术”产业，计划投资1亿元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（八）稳中求进，积极推进开发区改革发展。</w:t>
      </w: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落实市委、市政府“区域评估＋标准地＋承诺制＋代办制＋先建后验”改革要求，编制完成开发区9项区域评估、评价，完成标准地出让182亩。放大存量资产效应，将已落成有效资产的开发区污水厂、净水厂由县城投公司收购，融资到位2.38亿元。</w:t>
      </w: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有序推进机构编制和人事薪酬改革，县编委制发了开发区“三定”方案，下步将根据省、市操作性文件的出台情况，稳妥推进。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24" w:firstLineChars="200"/>
        <w:jc w:val="both"/>
        <w:textAlignment w:val="auto"/>
        <w:rPr>
          <w:rFonts w:hint="eastAsia" w:ascii="黑体" w:hAnsi="黑体" w:eastAsia="黑体" w:cs="黑体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pacing w:val="-4"/>
          <w:kern w:val="0"/>
          <w:sz w:val="32"/>
          <w:szCs w:val="32"/>
          <w:lang w:val="en-US" w:eastAsia="zh-CN" w:bidi="en-US"/>
        </w:rPr>
        <w:t>二、存在的主要问题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一是承载能力不强。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开发区经过近两年来的努力，修建了部分道路，建成了污水厂、净水厂，仅达到了项目落地的基本条件，与实现“九通一平”的目的尚有很大距离，需持续加大基础设施建设力度。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二是建设资金制约严重。</w:t>
      </w: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根据目前产城融合模式的新规划体系要求，开发区尚有1座变电站、2条主干路、4条次干路、16条支路的单体项目需要建设，加之原有企业拆除补偿、征迁、土地整理等均需要资金支撑，专项债资金已累计到位5.63亿元，明年又申报了3.7亿元，还有约15亿元资金缺口。随着我县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发债空间受限，需抓紧探索新的投融资模式。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三是产业质效不高。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目前开发区落地了几个项目，具备了产业发展雏形，但项目质量不高，虽然具有一定的拉动就业能力，但财政贡献太低，产业聚集度不高，产业链条尚未形成，产业生态薄弱。需抓紧梳理产业链条，实施产业链精准招商。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both"/>
        <w:rPr>
          <w:rFonts w:hint="default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四是招商引资实效性不强。</w:t>
      </w:r>
      <w:r>
        <w:rPr>
          <w:rFonts w:hint="eastAsia" w:ascii="仿宋" w:hAnsi="仿宋" w:eastAsia="仿宋" w:cs="仿宋"/>
          <w:b w:val="0"/>
          <w:bCs w:val="0"/>
          <w:lang w:val="en-US" w:eastAsia="zh-CN"/>
        </w:rPr>
        <w:t>我县尚未建立起科学合理的招商工作体系，各级各部门尚未形成协调联动的招商工作格局，全县亲商、重商、安商环境尚需优化，对开发区招商而言，仍处于散兵游勇的阶段，招商引资实效不明显。需下力度构建招商工作体系，整合招商工作力量，营造全县招商引资的强大氛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五是固定资产投资结构不合理。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2022年开发区内实际实施项目完成固定资产投资90859万元，其中政府财政性投资59917万元，占总投资65.95%，社会资本投资30942万元，占34.05%。社会资本投资占比太小，未能实现开发区吸纳社会资本的应有要义。需进一步解放思想、创新思维，发挥好财政资金的撬动作用。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both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以上问题，既有宏观层面的，也有具体工作方面的，既有战略层面的、也有操作层面的，需在今后的工作中下大力予以研究解决。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vertAlign w:val="baseline"/>
          <w:lang w:val="en-US" w:eastAsia="zh-CN"/>
        </w:rPr>
        <w:t>三、2023年重点工作谋划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</w:pP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2023年，经济开发区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以贯彻落实党的二十大、省委十届三次全会、市委十二届四次全会、县委十四届四次全会精神为统领，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按照承载能力提质升级，资源要素集中集约，产业项目集聚集群，产业生态培育优化的总体思路，紧紧围绕“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5+7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”的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中国式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现代化涞源场景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，奋力开创开发区工作新局面。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（一）破解建设资金瓶颈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</w:pPr>
      <w:r>
        <w:rPr>
          <w:rFonts w:hint="eastAsia" w:ascii="仿宋_GB2312" w:hAnsi="仿宋" w:cs="Times New Roman"/>
          <w:b/>
          <w:bCs/>
          <w:kern w:val="2"/>
          <w:sz w:val="32"/>
          <w:szCs w:val="20"/>
          <w:lang w:val="en-US" w:eastAsia="zh-CN" w:bidi="ar-SA"/>
        </w:rPr>
        <w:t>1、紧盯专项债券资金申报。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紧密配合发改、财政部门，积极与省、市主管单位协调、沟通，确保基础设施3.7亿元、科创园1.5亿元的专项债券资金申报落地落实。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cs="Times New Roman"/>
          <w:b/>
          <w:bCs/>
          <w:kern w:val="2"/>
          <w:sz w:val="32"/>
          <w:szCs w:val="20"/>
          <w:lang w:val="en-US" w:eastAsia="zh-CN" w:bidi="ar-SA"/>
        </w:rPr>
        <w:t>2、探索新的投融资模式。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创新合作模式，挖潜新的经营性项目，提高经营收益覆盖率，针对基础设施建设约15亿元的资金缺口，策划生成“政府+社会资本”项目，引入优质资本合作。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（二）加快产业项目建设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center"/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kern w:val="2"/>
          <w:sz w:val="32"/>
          <w:szCs w:val="20"/>
          <w:lang w:val="en-US" w:eastAsia="zh-CN" w:bidi="ar-SA"/>
        </w:rPr>
        <w:t>1、加快推进在建项目。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加快推动驷乾新能源、同光高质量碳化硅单晶衬底及外延片产业化项目（企业投资部分）、桃木疙瘩屠宰厂3个项目进度，确保6月份投产。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3" w:firstLineChars="200"/>
        <w:rPr>
          <w:rFonts w:hint="default" w:ascii="仿宋_GB2312" w:hAnsi="仿宋" w:eastAsia="仿宋_GB2312" w:cs="Times New Roman"/>
          <w:b/>
          <w:bCs/>
          <w:kern w:val="2"/>
          <w:sz w:val="32"/>
          <w:szCs w:val="20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kern w:val="2"/>
          <w:sz w:val="32"/>
          <w:szCs w:val="20"/>
          <w:lang w:val="en-US" w:eastAsia="zh-CN" w:bidi="ar-SA"/>
        </w:rPr>
        <w:t>2、加快办理签约项目前期手续。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加快办理华能誉柯防水材料、国电投氢阳光伏制氢、京能巽欣锂离子电池、千喜鹤中央厨房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等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4个已签约项目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的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前期手续，确保第一季度全部开工。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both"/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</w:pPr>
      <w:r>
        <w:rPr>
          <w:rFonts w:hint="eastAsia" w:ascii="仿宋_GB2312" w:hAnsi="仿宋" w:eastAsia="仿宋_GB2312" w:cs="Times New Roman"/>
          <w:b/>
          <w:bCs/>
          <w:kern w:val="2"/>
          <w:sz w:val="32"/>
          <w:szCs w:val="20"/>
          <w:lang w:val="en-US" w:eastAsia="zh-CN" w:bidi="ar-SA"/>
        </w:rPr>
        <w:t>3、加快推进科创园建设。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严格按规范实施，打造涞源建筑行业标杆项目，开足马力，全速推进，全年完成投资不低于3.8亿元，确保第三、第四季度部分结构达到投运条件。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center"/>
        <w:rPr>
          <w:rFonts w:hint="default" w:ascii="仿宋_GB2312" w:hAnsi="仿宋" w:cs="Times New Roman"/>
          <w:kern w:val="2"/>
          <w:sz w:val="32"/>
          <w:szCs w:val="20"/>
          <w:lang w:val="en-US" w:eastAsia="zh-CN" w:bidi="ar-SA"/>
        </w:rPr>
      </w:pPr>
      <w:r>
        <w:rPr>
          <w:rFonts w:hint="eastAsia" w:ascii="仿宋_GB2312" w:hAnsi="仿宋" w:cs="Times New Roman"/>
          <w:b/>
          <w:bCs/>
          <w:kern w:val="2"/>
          <w:sz w:val="32"/>
          <w:szCs w:val="20"/>
          <w:lang w:val="en-US" w:eastAsia="zh-CN" w:bidi="ar-SA"/>
        </w:rPr>
        <w:t>4</w:t>
      </w:r>
      <w:r>
        <w:rPr>
          <w:rFonts w:hint="eastAsia" w:ascii="仿宋_GB2312" w:hAnsi="仿宋" w:eastAsia="仿宋_GB2312" w:cs="Times New Roman"/>
          <w:b/>
          <w:bCs/>
          <w:kern w:val="2"/>
          <w:sz w:val="32"/>
          <w:szCs w:val="20"/>
          <w:lang w:val="en-US" w:eastAsia="zh-CN" w:bidi="ar-SA"/>
        </w:rPr>
        <w:t>、加快项目策划生成。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加快推进城投公司建材物流园项目前期手续及融资，力促早日开工。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着力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解决中材绿建原材料保障问题，确保早日签约。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（三）提升综合承载能力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" w:cs="Times New Roman"/>
          <w:b/>
          <w:bCs/>
          <w:kern w:val="2"/>
          <w:sz w:val="32"/>
          <w:szCs w:val="20"/>
          <w:lang w:val="en-US" w:eastAsia="zh-CN" w:bidi="ar-SA"/>
        </w:rPr>
        <w:t>1、路网建设。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计划实施</w:t>
      </w:r>
      <w:r>
        <w:rPr>
          <w:rFonts w:hint="eastAsia" w:ascii="仿宋_GB2312" w:hAnsi="宋体" w:eastAsia="仿宋_GB2312" w:cs="宋体"/>
          <w:kern w:val="2"/>
          <w:sz w:val="32"/>
          <w:szCs w:val="32"/>
          <w:highlight w:val="none"/>
          <w:lang w:val="en-US" w:eastAsia="zh-CN" w:bidi="ar-SA"/>
        </w:rPr>
        <w:t>纬三路西延、纬十路、经三路南区段</w:t>
      </w:r>
      <w:r>
        <w:rPr>
          <w:rFonts w:hint="eastAsia" w:ascii="仿宋_GB2312" w:hAnsi="宋体" w:cs="宋体"/>
          <w:kern w:val="2"/>
          <w:sz w:val="32"/>
          <w:szCs w:val="32"/>
          <w:highlight w:val="none"/>
          <w:lang w:val="en-US" w:eastAsia="zh-CN" w:bidi="ar-SA"/>
        </w:rPr>
        <w:t>（含</w:t>
      </w:r>
      <w:r>
        <w:rPr>
          <w:rFonts w:hint="eastAsia" w:ascii="仿宋_GB2312" w:hAnsi="宋体" w:eastAsia="仿宋_GB2312" w:cs="宋体"/>
          <w:kern w:val="2"/>
          <w:sz w:val="32"/>
          <w:szCs w:val="32"/>
          <w:highlight w:val="none"/>
          <w:lang w:val="en-US" w:eastAsia="zh-CN" w:bidi="ar-SA"/>
        </w:rPr>
        <w:t>桥</w:t>
      </w:r>
      <w:r>
        <w:rPr>
          <w:rFonts w:hint="eastAsia" w:ascii="仿宋_GB2312" w:hAnsi="宋体" w:cs="宋体"/>
          <w:kern w:val="2"/>
          <w:sz w:val="32"/>
          <w:szCs w:val="32"/>
          <w:highlight w:val="none"/>
          <w:lang w:val="en-US" w:eastAsia="zh-CN" w:bidi="ar-SA"/>
        </w:rPr>
        <w:t>梁一座）</w:t>
      </w:r>
      <w:r>
        <w:rPr>
          <w:rFonts w:hint="eastAsia" w:ascii="仿宋" w:hAnsi="仿宋" w:eastAsia="仿宋" w:cs="仿宋"/>
          <w:b w:val="0"/>
          <w:bCs/>
          <w:sz w:val="32"/>
          <w:szCs w:val="32"/>
          <w:lang w:val="en-US" w:eastAsia="zh-CN"/>
        </w:rPr>
        <w:t>三条道路，实现与108、207两条国道和滨湖新区闭环连通，提高通勤效能，推进产城融合发展。概算投资2.79亿元。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_GB2312" w:hAnsi="宋体" w:eastAsia="仿宋_GB2312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" w:cs="Times New Roman"/>
          <w:b/>
          <w:bCs/>
          <w:kern w:val="2"/>
          <w:sz w:val="32"/>
          <w:szCs w:val="20"/>
          <w:lang w:val="en-US" w:eastAsia="zh-CN" w:bidi="ar-SA"/>
        </w:rPr>
        <w:t>2、河道治理。</w:t>
      </w:r>
      <w:r>
        <w:rPr>
          <w:rFonts w:hint="eastAsia" w:ascii="仿宋_GB2312" w:hAnsi="宋体" w:cs="宋体"/>
          <w:kern w:val="2"/>
          <w:sz w:val="32"/>
          <w:szCs w:val="32"/>
          <w:highlight w:val="none"/>
          <w:lang w:val="en-US" w:eastAsia="zh-CN" w:bidi="ar-SA"/>
        </w:rPr>
        <w:t>实施北屯河、冯村沟、狮子峪沟三条河道治理，调整河道控制线，腾让土地2280亩，消除尾砂侵占河道违法图斑。</w:t>
      </w:r>
      <w:r>
        <w:rPr>
          <w:rFonts w:hint="eastAsia" w:ascii="仿宋_GB2312" w:hAnsi="宋体" w:eastAsia="仿宋_GB2312" w:cs="宋体"/>
          <w:kern w:val="2"/>
          <w:sz w:val="32"/>
          <w:szCs w:val="32"/>
          <w:highlight w:val="none"/>
          <w:lang w:val="en-US" w:eastAsia="zh-CN" w:bidi="ar-SA"/>
        </w:rPr>
        <w:t>概算投资</w:t>
      </w:r>
      <w:r>
        <w:rPr>
          <w:rFonts w:hint="eastAsia" w:ascii="仿宋_GB2312" w:hAnsi="宋体" w:cs="宋体"/>
          <w:kern w:val="2"/>
          <w:sz w:val="32"/>
          <w:szCs w:val="32"/>
          <w:highlight w:val="none"/>
          <w:lang w:val="en-US" w:eastAsia="zh-CN" w:bidi="ar-SA"/>
        </w:rPr>
        <w:t>2.36</w:t>
      </w:r>
      <w:r>
        <w:rPr>
          <w:rFonts w:hint="eastAsia" w:ascii="仿宋_GB2312" w:hAnsi="宋体" w:eastAsia="仿宋_GB2312" w:cs="宋体"/>
          <w:kern w:val="2"/>
          <w:sz w:val="32"/>
          <w:szCs w:val="32"/>
          <w:highlight w:val="none"/>
          <w:lang w:val="en-US" w:eastAsia="zh-CN" w:bidi="ar-SA"/>
        </w:rPr>
        <w:t>亿元。</w:t>
      </w:r>
    </w:p>
    <w:p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仿宋_GB2312" w:hAnsi="宋体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" w:cs="Times New Roman"/>
          <w:b/>
          <w:bCs/>
          <w:kern w:val="2"/>
          <w:sz w:val="32"/>
          <w:szCs w:val="20"/>
          <w:lang w:val="en-US" w:eastAsia="zh-CN" w:bidi="ar-SA"/>
        </w:rPr>
        <w:t>3、产业项目配套。</w:t>
      </w:r>
      <w:r>
        <w:rPr>
          <w:rFonts w:hint="eastAsia" w:ascii="仿宋_GB2312" w:hAnsi="宋体" w:cs="宋体"/>
          <w:kern w:val="2"/>
          <w:sz w:val="32"/>
          <w:szCs w:val="32"/>
          <w:highlight w:val="none"/>
          <w:lang w:val="en-US" w:eastAsia="zh-CN" w:bidi="ar-SA"/>
        </w:rPr>
        <w:t>围绕华能誉柯防水材料、国电投氢阳制氢、京能巽欣锂离子电池、千喜鹤中央厨房等四个已签约项目的落地，加快实施路、水、电等配套建设。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kern w:val="2"/>
          <w:sz w:val="32"/>
          <w:szCs w:val="32"/>
          <w:lang w:val="en-US" w:eastAsia="zh-CN" w:bidi="ar-SA"/>
        </w:rPr>
        <w:t>（四）下大力开展招商引资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both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32"/>
          <w:szCs w:val="32"/>
          <w:lang w:val="en-US" w:eastAsia="zh-CN" w:bidi="ar-SA"/>
        </w:rPr>
        <w:t>1、加快构建工作体系。</w:t>
      </w:r>
      <w:r>
        <w:rPr>
          <w:rFonts w:hint="eastAsia"/>
          <w:lang w:val="en-US" w:eastAsia="zh-CN"/>
        </w:rPr>
        <w:t xml:space="preserve">建立与县直职能部门常态化联席机制，构建包括洽谈对接、项目识别、风险评估、落地决策、跟踪服务等关键环节在内的衔接顺畅的工作体系，梳理工作流程，配齐配强力量，提升团队素质，形成自主招商、第三方代理招商、合作共建多点开花的招商引资工作格局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3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lang w:val="en-US" w:eastAsia="zh-CN"/>
        </w:rPr>
        <w:t>2、推进</w:t>
      </w:r>
      <w:r>
        <w:rPr>
          <w:rFonts w:hint="eastAsia"/>
          <w:b/>
          <w:bCs/>
          <w:lang w:val="en-US" w:eastAsia="zh-CN"/>
        </w:rPr>
        <w:t>产业链招商。</w:t>
      </w:r>
      <w:r>
        <w:rPr>
          <w:rFonts w:hint="eastAsia"/>
          <w:lang w:val="en-US" w:eastAsia="zh-CN"/>
        </w:rPr>
        <w:t>针对我县产业基础，挖潜成长优势，重点围绕现代食品业、矿业、第三代半导体业三大产业链条，梳理上下游关联企业，编制产业链招商地图，培育“链主”企业，报请县委、县政府明确由县级领导担任“链长”，开展“链长制”产业链精准招商。</w:t>
      </w:r>
    </w:p>
    <w:p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43" w:firstLineChars="200"/>
        <w:jc w:val="left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24"/>
          <w:lang w:val="en-US" w:eastAsia="zh-CN" w:bidi="ar-SA"/>
        </w:rPr>
        <w:t>3、推进“以商招</w:t>
      </w:r>
      <w:r>
        <w:rPr>
          <w:rFonts w:hint="eastAsia"/>
          <w:b/>
          <w:bCs/>
          <w:lang w:val="en-US" w:eastAsia="zh-CN"/>
        </w:rPr>
        <w:t>商”。</w:t>
      </w:r>
      <w:r>
        <w:rPr>
          <w:rFonts w:hint="eastAsia"/>
          <w:lang w:val="en-US" w:eastAsia="zh-CN"/>
        </w:rPr>
        <w:t>充分发挥现有企业（同光、雄源、玖兴等）、本地优势企业（宏伟公司等）、已签约企业（华能、国电投等）、友好合作企业（德龙集团等）的资源优势，邀约国内优质企业，年内在北京、雄安等地、市组织集中招商推介会不少于3次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textAlignment w:val="center"/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kern w:val="2"/>
          <w:sz w:val="32"/>
          <w:szCs w:val="32"/>
          <w:lang w:val="en-US" w:eastAsia="zh-CN" w:bidi="ar-SA"/>
        </w:rPr>
        <w:t>4、狠抓科创园招商。</w:t>
      </w:r>
      <w:r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  <w:t>按照“边建设、边招商，即竣工、即投产”的思路，加快完成招商短片制作、招商政策起草，成立专项招商组织，积极探索第三方专业机构委托运营，着力于双创、研发、科技孵化、商业配套服务等轻资产领域招商，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全力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推进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中科纳米、国科智能、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香河富都华创家具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3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个轻资产项目</w:t>
      </w:r>
      <w:r>
        <w:rPr>
          <w:rFonts w:hint="eastAsia" w:ascii="仿宋_GB2312" w:hAnsi="仿宋" w:cs="Times New Roman"/>
          <w:kern w:val="2"/>
          <w:sz w:val="32"/>
          <w:szCs w:val="20"/>
          <w:lang w:val="en-US" w:eastAsia="zh-CN" w:bidi="ar-SA"/>
        </w:rPr>
        <w:t>签约</w:t>
      </w:r>
      <w:r>
        <w:rPr>
          <w:rFonts w:hint="eastAsia" w:ascii="仿宋_GB2312" w:hAnsi="仿宋" w:eastAsia="仿宋_GB2312" w:cs="Times New Roman"/>
          <w:kern w:val="2"/>
          <w:sz w:val="32"/>
          <w:szCs w:val="20"/>
          <w:lang w:val="en-US" w:eastAsia="zh-CN" w:bidi="ar-SA"/>
        </w:rPr>
        <w:t>，</w:t>
      </w:r>
      <w:r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  <w:t xml:space="preserve">力争2023年入驻项目签约落地不少于5个。  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both"/>
        <w:rPr>
          <w:rFonts w:hint="eastAsia" w:ascii="楷体" w:hAnsi="楷体" w:eastAsia="楷体" w:cs="楷体"/>
          <w:b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000000"/>
          <w:kern w:val="2"/>
          <w:sz w:val="32"/>
          <w:szCs w:val="32"/>
          <w:lang w:val="en-US" w:eastAsia="zh-CN" w:bidi="ar-SA"/>
        </w:rPr>
        <w:t>（五）推进开发区改革发展</w:t>
      </w:r>
    </w:p>
    <w:p>
      <w:pPr>
        <w:pStyle w:val="9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jc w:val="both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  <w:t>根据省、市要求，结合涞源开发区实际情况，积极稳妥推进开发区改革，不断理顺机制体制，提高运行效能。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both"/>
        <w:rPr>
          <w:rFonts w:hint="eastAsia" w:ascii="楷体" w:hAnsi="楷体" w:eastAsia="楷体" w:cs="楷体"/>
          <w:b/>
          <w:bCs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color w:val="000000"/>
          <w:kern w:val="2"/>
          <w:sz w:val="32"/>
          <w:szCs w:val="32"/>
          <w:lang w:val="en-US" w:eastAsia="zh-CN" w:bidi="ar-SA"/>
        </w:rPr>
        <w:t>做好省级开发区考核工作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充分发挥省、市考核“指挥棒”作用，补短板、强弱项，在确保同类考核B等次的基础上，力争进入A类。</w:t>
      </w:r>
    </w:p>
    <w:sectPr>
      <w:footerReference r:id="rId3" w:type="default"/>
      <w:pgSz w:w="11906" w:h="16838"/>
      <w:pgMar w:top="2098" w:right="1531" w:bottom="1984" w:left="153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509CDF2-4074-49A1-96EF-0EF4AF0F01A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8B617AD9-2FA6-41EF-9B13-3F8E1382F128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7330E7D9-874D-4ACA-8DD1-CD93F46675C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0FAEB27-23FC-4E7D-84ED-37EE03A8F14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DE77501A-4E66-4893-8E8C-8B6D178CDF8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E9A656"/>
    <w:multiLevelType w:val="singleLevel"/>
    <w:tmpl w:val="B2E9A656"/>
    <w:lvl w:ilvl="0" w:tentative="0">
      <w:start w:val="6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hYjFhOWM0NmE0MTQxMmIyYzcyZmVmZmY2NWZiODYifQ=="/>
  </w:docVars>
  <w:rsids>
    <w:rsidRoot w:val="32CF48CB"/>
    <w:rsid w:val="039667A9"/>
    <w:rsid w:val="04127E4F"/>
    <w:rsid w:val="05372CDA"/>
    <w:rsid w:val="05B87CCA"/>
    <w:rsid w:val="06330580"/>
    <w:rsid w:val="063A1424"/>
    <w:rsid w:val="068D7B1C"/>
    <w:rsid w:val="08FB0A0D"/>
    <w:rsid w:val="08FF3732"/>
    <w:rsid w:val="09180412"/>
    <w:rsid w:val="09A859B6"/>
    <w:rsid w:val="0ACB0A48"/>
    <w:rsid w:val="0B23346A"/>
    <w:rsid w:val="0D640C13"/>
    <w:rsid w:val="0EF642DF"/>
    <w:rsid w:val="0F9946AA"/>
    <w:rsid w:val="100B4BDF"/>
    <w:rsid w:val="10625426"/>
    <w:rsid w:val="139C517F"/>
    <w:rsid w:val="143C0CA7"/>
    <w:rsid w:val="15D01A44"/>
    <w:rsid w:val="16072E1E"/>
    <w:rsid w:val="164F168B"/>
    <w:rsid w:val="16EF2637"/>
    <w:rsid w:val="18723C59"/>
    <w:rsid w:val="18946E06"/>
    <w:rsid w:val="1973353B"/>
    <w:rsid w:val="1AD734D7"/>
    <w:rsid w:val="1ADA3D88"/>
    <w:rsid w:val="1BFA39C4"/>
    <w:rsid w:val="1C9A3F77"/>
    <w:rsid w:val="1D69418F"/>
    <w:rsid w:val="1D993DF4"/>
    <w:rsid w:val="1DCF6793"/>
    <w:rsid w:val="1F1E1BC6"/>
    <w:rsid w:val="1F5622D4"/>
    <w:rsid w:val="236F44CE"/>
    <w:rsid w:val="25D81B1E"/>
    <w:rsid w:val="28CE5D75"/>
    <w:rsid w:val="29164167"/>
    <w:rsid w:val="29697289"/>
    <w:rsid w:val="29D60067"/>
    <w:rsid w:val="29F0497A"/>
    <w:rsid w:val="2A0140CD"/>
    <w:rsid w:val="2B031B1F"/>
    <w:rsid w:val="2B2F4C6A"/>
    <w:rsid w:val="2EA56A1F"/>
    <w:rsid w:val="3091417F"/>
    <w:rsid w:val="30C76CCB"/>
    <w:rsid w:val="32805DAB"/>
    <w:rsid w:val="32CB3E17"/>
    <w:rsid w:val="32CF48CB"/>
    <w:rsid w:val="348D0665"/>
    <w:rsid w:val="3601072D"/>
    <w:rsid w:val="36F603A8"/>
    <w:rsid w:val="39B90520"/>
    <w:rsid w:val="3AF60C54"/>
    <w:rsid w:val="3BDD0514"/>
    <w:rsid w:val="3D8C3735"/>
    <w:rsid w:val="3F0D3C8A"/>
    <w:rsid w:val="3FAA7EEE"/>
    <w:rsid w:val="40A06600"/>
    <w:rsid w:val="43C57AC2"/>
    <w:rsid w:val="4558401B"/>
    <w:rsid w:val="47283EBB"/>
    <w:rsid w:val="472A574D"/>
    <w:rsid w:val="47D12A3C"/>
    <w:rsid w:val="48C56F2F"/>
    <w:rsid w:val="49331F2A"/>
    <w:rsid w:val="4B1732F9"/>
    <w:rsid w:val="4CFC57BB"/>
    <w:rsid w:val="4D5852D1"/>
    <w:rsid w:val="4F4B7CF0"/>
    <w:rsid w:val="4F5C0821"/>
    <w:rsid w:val="5028222A"/>
    <w:rsid w:val="51F54115"/>
    <w:rsid w:val="52365BD9"/>
    <w:rsid w:val="53F428EA"/>
    <w:rsid w:val="542E3AD8"/>
    <w:rsid w:val="54FC70BB"/>
    <w:rsid w:val="55BF34C7"/>
    <w:rsid w:val="560B2A2F"/>
    <w:rsid w:val="57A33439"/>
    <w:rsid w:val="57A4224B"/>
    <w:rsid w:val="57A603C6"/>
    <w:rsid w:val="57CB184A"/>
    <w:rsid w:val="57CE5D34"/>
    <w:rsid w:val="58922210"/>
    <w:rsid w:val="59637709"/>
    <w:rsid w:val="5A040DEC"/>
    <w:rsid w:val="5B3E1D06"/>
    <w:rsid w:val="5D143735"/>
    <w:rsid w:val="5E495D8F"/>
    <w:rsid w:val="5F18086E"/>
    <w:rsid w:val="5F6317FD"/>
    <w:rsid w:val="604358E1"/>
    <w:rsid w:val="623B6E9C"/>
    <w:rsid w:val="630746A4"/>
    <w:rsid w:val="64162CAE"/>
    <w:rsid w:val="68D777CC"/>
    <w:rsid w:val="69D46BE9"/>
    <w:rsid w:val="6B2F021C"/>
    <w:rsid w:val="6C186A79"/>
    <w:rsid w:val="6C206FB6"/>
    <w:rsid w:val="6CC1088D"/>
    <w:rsid w:val="6CC93D05"/>
    <w:rsid w:val="6EE13152"/>
    <w:rsid w:val="6F615A1C"/>
    <w:rsid w:val="72840E99"/>
    <w:rsid w:val="73764B58"/>
    <w:rsid w:val="78050527"/>
    <w:rsid w:val="781B6E93"/>
    <w:rsid w:val="79CB470B"/>
    <w:rsid w:val="7ADF33FE"/>
    <w:rsid w:val="7B0C1557"/>
    <w:rsid w:val="7C6F0B02"/>
    <w:rsid w:val="7D334B68"/>
    <w:rsid w:val="7DBC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qFormat="1" w:uiPriority="99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_GB2312" w:cs="Times New Roman" w:asciiTheme="minorHAnsi" w:hAnsiTheme="minorHAnsi"/>
      <w:kern w:val="2"/>
      <w:sz w:val="32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Indent"/>
    <w:basedOn w:val="1"/>
    <w:next w:val="1"/>
    <w:qFormat/>
    <w:uiPriority w:val="0"/>
    <w:pPr>
      <w:ind w:firstLine="200" w:firstLineChars="200"/>
    </w:pPr>
    <w:rPr>
      <w:rFonts w:ascii="Calibri" w:hAnsi="Calibri"/>
    </w:rPr>
  </w:style>
  <w:style w:type="paragraph" w:styleId="5">
    <w:name w:val="Body Text"/>
    <w:basedOn w:val="1"/>
    <w:qFormat/>
    <w:uiPriority w:val="0"/>
    <w:pPr>
      <w:spacing w:after="120" w:line="560" w:lineRule="exact"/>
      <w:ind w:firstLine="880" w:firstLineChars="200"/>
    </w:pPr>
    <w:rPr>
      <w:rFonts w:ascii="Times New Roman" w:hAnsi="Times New Roman" w:eastAsia="仿宋_GB2312"/>
      <w:sz w:val="32"/>
    </w:rPr>
  </w:style>
  <w:style w:type="paragraph" w:styleId="6">
    <w:name w:val="Plain Text"/>
    <w:basedOn w:val="1"/>
    <w:qFormat/>
    <w:uiPriority w:val="99"/>
    <w:rPr>
      <w:rFonts w:ascii="宋体" w:hAnsi="Courier New" w:cs="宋体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index 9"/>
    <w:basedOn w:val="1"/>
    <w:next w:val="1"/>
    <w:semiHidden/>
    <w:unhideWhenUsed/>
    <w:qFormat/>
    <w:uiPriority w:val="99"/>
    <w:pPr>
      <w:ind w:left="1600" w:leftChars="1600"/>
    </w:pPr>
  </w:style>
  <w:style w:type="paragraph" w:styleId="9">
    <w:name w:val="toc 2"/>
    <w:basedOn w:val="1"/>
    <w:next w:val="1"/>
    <w:qFormat/>
    <w:uiPriority w:val="99"/>
    <w:pPr>
      <w:ind w:left="420" w:leftChars="200"/>
    </w:pPr>
  </w:style>
  <w:style w:type="paragraph" w:styleId="10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4816</Words>
  <Characters>5081</Characters>
  <Lines>0</Lines>
  <Paragraphs>0</Paragraphs>
  <TotalTime>11</TotalTime>
  <ScaleCrop>false</ScaleCrop>
  <LinksUpToDate>false</LinksUpToDate>
  <CharactersWithSpaces>5124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2022-10-26T12:20:00Z</dcterms:created>
  <dc:creator>余生。</dc:creator>
  <cp:lastModifiedBy>Administrator</cp:lastModifiedBy>
  <cp:lastPrinted>2022-12-15T07:11:00Z</cp:lastPrinted>
  <dcterms:modified xsi:type="dcterms:W3CDTF">2023-01-09T06:16:54Z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8D0CBF063B794BC4AD6D34DB74C18146</vt:lpwstr>
  </property>
</Properties>
</file>