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spacing w:val="0"/>
          <w:sz w:val="44"/>
          <w:szCs w:val="44"/>
        </w:rPr>
      </w:pPr>
      <w:r>
        <w:rPr>
          <w:rFonts w:hint="eastAsia" w:ascii="宋体" w:hAnsi="宋体" w:eastAsia="宋体"/>
          <w:b/>
          <w:spacing w:val="0"/>
          <w:sz w:val="52"/>
          <w:szCs w:val="52"/>
          <w:lang w:eastAsia="zh-CN"/>
        </w:rPr>
        <w:t>涞源县防止返贫动态监测和帮扶工作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center"/>
        <w:textAlignment w:val="auto"/>
        <w:rPr>
          <w:rFonts w:hint="default" w:ascii="宋体" w:hAnsi="宋体"/>
          <w:b/>
          <w:spacing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宋体" w:hAnsi="宋体"/>
          <w:b/>
          <w:spacing w:val="0"/>
          <w:sz w:val="72"/>
          <w:szCs w:val="72"/>
        </w:rPr>
        <w:t>明   白   纸</w:t>
      </w:r>
      <w:r>
        <w:rPr>
          <w:rFonts w:hint="eastAsia" w:ascii="宋体" w:hAnsi="宋体"/>
          <w:b/>
          <w:spacing w:val="0"/>
          <w:sz w:val="72"/>
          <w:szCs w:val="72"/>
          <w:lang w:val="en-US" w:eastAsia="zh-CN"/>
        </w:rPr>
        <w:t xml:space="preserve">   </w:t>
      </w:r>
      <w:r>
        <w:rPr>
          <w:rFonts w:hint="eastAsia" w:ascii="宋体" w:hAnsi="宋体"/>
          <w:b/>
          <w:spacing w:val="0"/>
          <w:sz w:val="32"/>
          <w:szCs w:val="32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lang w:val="en-US" w:eastAsia="zh-CN"/>
        </w:rPr>
        <w:sectPr>
          <w:headerReference r:id="rId3" w:type="default"/>
          <w:footerReference r:id="rId4" w:type="default"/>
          <w:pgSz w:w="16840" w:h="23814"/>
          <w:pgMar w:top="1134" w:right="1134" w:bottom="1134" w:left="1134" w:header="851" w:footer="992" w:gutter="0"/>
          <w:cols w:space="720" w:num="1"/>
          <w:docGrid w:type="lines" w:linePitch="312" w:charSpace="0"/>
        </w:sect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210" w:leftChars="100" w:right="0" w:rightChars="0"/>
        <w:jc w:val="center"/>
        <w:textAlignment w:val="auto"/>
        <w:rPr>
          <w:rFonts w:hint="eastAsia" w:ascii="华文隶书" w:hAnsi="华文隶书" w:eastAsia="华文隶书" w:cs="华文隶书"/>
          <w:color w:val="auto"/>
          <w:sz w:val="36"/>
          <w:szCs w:val="36"/>
          <w:lang w:val="en-US" w:eastAsia="zh-CN"/>
        </w:rPr>
      </w:pPr>
      <w:r>
        <w:rPr>
          <w:rFonts w:hint="eastAsia" w:ascii="华文隶书" w:hAnsi="华文隶书" w:eastAsia="华文隶书" w:cs="华文隶书"/>
          <w:color w:val="auto"/>
          <w:sz w:val="36"/>
          <w:szCs w:val="36"/>
          <w:lang w:val="en-US" w:eastAsia="zh-CN"/>
        </w:rPr>
        <w:t>一、认定监测对象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lang w:val="en-US" w:eastAsia="zh-CN"/>
        </w:rPr>
        <w:t>1、监测对象都有哪些？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（1）脱贫不稳定户。建档立卡脱贫户中，年人均纯收入在我县防止返贫监测范围以内，且存在返贫风险的农户。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（2）边缘易致贫户。一般农户中，年人均纯收入在我县防止返贫监测范围以内，且存在致贫风险的农户。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（3）突发严重困难户。年人均纯收入超出我县防止返贫监测标准，但因病因灾因意外事故等突发状况，刚性支出较大超过预警标准或收入大幅缩减，导致基本生活出现严重困难存在返贫致贫风险的农户。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重点关注有大病重病和负担较重的慢性病患者、无（丧失）劳动力人口、重度残疾人、留守儿童和困境儿童、分散供养特困人员、失能人口等特殊群体的家庭。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lang w:val="en-US" w:eastAsia="zh-CN"/>
        </w:rPr>
        <w:t>2、监测范围有哪些方面？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/>
        </w:rPr>
      </w:pPr>
      <w:r>
        <w:rPr>
          <w:rFonts w:hint="eastAsia" w:ascii="宋体" w:hAnsi="宋体" w:eastAsia="宋体" w:cs="宋体"/>
          <w:color w:val="auto"/>
          <w:sz w:val="24"/>
          <w:lang w:eastAsia="zh-CN"/>
        </w:rPr>
        <w:t>综合考虑家庭人均纯收入和返贫致贫风险两方面因素确定监测范围。（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</w:rPr>
        <w:t>收入方面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。</w:t>
      </w:r>
      <w:r>
        <w:rPr>
          <w:rFonts w:hint="eastAsia" w:ascii="宋体" w:hAnsi="宋体" w:eastAsia="宋体" w:cs="宋体"/>
          <w:color w:val="auto"/>
          <w:sz w:val="24"/>
        </w:rPr>
        <w:t>参照其履行认定程序前12个月内家庭成员收入的总和计算年人均纯收入。以脱贫攻坚期国家扶贫标准的1.5倍（6000元）作为我县2021年监测标准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。</w:t>
      </w:r>
      <w:r>
        <w:rPr>
          <w:rFonts w:hint="eastAsia" w:ascii="宋体" w:hAnsi="宋体" w:eastAsia="宋体" w:cs="宋体"/>
          <w:color w:val="auto"/>
          <w:sz w:val="24"/>
        </w:rPr>
        <w:t>综合物价指数变化、农村居民人均可支配收入增幅和农村低保标准等因素，按省统一部署每年动态调整。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</w:rPr>
        <w:t>返贫致贫风险方面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。</w:t>
      </w:r>
      <w:r>
        <w:rPr>
          <w:rFonts w:hint="eastAsia" w:ascii="宋体" w:hAnsi="宋体" w:eastAsia="宋体" w:cs="宋体"/>
          <w:color w:val="auto"/>
          <w:sz w:val="24"/>
        </w:rPr>
        <w:t>主要包括因病、因学、因残、因自然灾害、因意外事故、因产业项目失败、因务工就业不稳、缺劳动力、收入低、缺技术、缺发展资金、“三保障”出现困难、自身发展动力不足等，由相关行业部门结合实际逐项研究确定各类风险的预警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lang w:val="en-US" w:eastAsia="zh-CN"/>
        </w:rPr>
        <w:t>3、优先认定的情形有哪些？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有下列情形之一，且不存在“不予认定情形”的，优先认定为监测对象；存在“不予认定情形”等特殊情况的，由村民代表会议民主评议确定。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(1)家庭人均纯收入低于监测范围标准( 2021年6000元)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</w:rPr>
        <w:t>近两年人均纯收入持续下降，且短期内增收无望的。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(2)家庭人均纯收入低于监测范围标准(2021年6000元)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</w:rPr>
        <w:t>家庭成员刚性支出较大影响家庭基本生活，且短期内无法消除的。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（3）因残疾(含智力残)、疾病、年龄等原因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</w:rPr>
        <w:t>“两不愁” 出现困难，且没有法定义务人照顾或法定义务人无能力照顾的。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（4）“三保障”及饮水安全出现困难，自身及其法定赡养 (抚养、扶养)人财力无法解决的。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（5）刚性支出较大，综合考虑家庭积蓄、分户法定赡养(抚养、扶养)人资助因素，人均纯收入扣除刚性支出后低于当地农村最低生活保障标准，且短期内刚性支出无法消除的。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（6）家庭人均纯收入骤降至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我县</w:t>
      </w:r>
      <w:r>
        <w:rPr>
          <w:rFonts w:hint="eastAsia" w:ascii="宋体" w:hAnsi="宋体" w:eastAsia="宋体" w:cs="宋体"/>
          <w:color w:val="auto"/>
          <w:sz w:val="24"/>
        </w:rPr>
        <w:t>农村最低生活保障标准以下，家庭积蓄不足以支撑其基本生活，且短期内增收无望的。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lang w:val="en-US" w:eastAsia="zh-CN"/>
        </w:rPr>
        <w:t>4、不予认定的情形有哪些？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有以下情形之一的，一般不予认定，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有</w:t>
      </w:r>
      <w:r>
        <w:rPr>
          <w:rFonts w:hint="eastAsia" w:ascii="宋体" w:hAnsi="宋体" w:eastAsia="宋体" w:cs="宋体"/>
          <w:color w:val="auto"/>
          <w:sz w:val="24"/>
        </w:rPr>
        <w:t>特殊情况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的，</w:t>
      </w:r>
      <w:r>
        <w:rPr>
          <w:rFonts w:hint="eastAsia" w:ascii="宋体" w:hAnsi="宋体" w:eastAsia="宋体" w:cs="宋体"/>
          <w:color w:val="auto"/>
          <w:sz w:val="24"/>
        </w:rPr>
        <w:t>由村民代表会议组织评议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，履行</w:t>
      </w:r>
      <w:r>
        <w:rPr>
          <w:rFonts w:hint="eastAsia" w:ascii="宋体" w:hAnsi="宋体" w:eastAsia="宋体" w:cs="宋体"/>
          <w:color w:val="auto"/>
          <w:sz w:val="24"/>
        </w:rPr>
        <w:t>认定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程序</w:t>
      </w:r>
      <w:r>
        <w:rPr>
          <w:rFonts w:hint="eastAsia" w:ascii="宋体" w:hAnsi="宋体" w:eastAsia="宋体" w:cs="宋体"/>
          <w:color w:val="auto"/>
          <w:sz w:val="24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（1）家庭成员中有财政供养人员（不包括村党组织书记、村委会主任以外的村“两委”干部），或在企事业单位工作（含离退休，临时工、零工除外），且工资收入持续稳定的。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（2）家庭成员中有作为企业法人在行政审批部门注册企业、有年审记录、经营收入持续稳定的。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（3）家庭成员在城镇有商品房、门市房等（不含因灾重建、易地搬迁和拆迁建房）的。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</w:rPr>
        <w:t>（4）家庭成员有高价载客汽车、工程机械、大型运输车辆、大型农机具等的（不含残疾人代步车、两轮助力摩托车、农用三轮车、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小型农用拖拉机等）。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（5）家庭成员有大额存款或基金、股票、投资型保险等有价证券的。大额存款按“人均存款超过36个月当时城市低保标准之和”进行测算（2021年按24000元掌握）。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（6）法定赡养（抚养、扶养）人收入水平较高，明显具备抵御风险能力，能保障其基本生活的。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lang w:val="en-US" w:eastAsia="zh-CN"/>
        </w:rPr>
        <w:t>5、监测方式有哪些？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（1）农户自主申报。通过向乡村干部或村综合服务站申请、拨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right="0" w:rightChars="0"/>
        <w:textAlignment w:val="auto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打12317咨询服务电话或乡村振兴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局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公布的咨询服务电话、脱贫户使用手机APP等渠道，由农户个人申报或他人代为申报。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（2）基层干部排查。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在本村居住的非农业户籍人员、外来租住人员等不在防止返贫监测范围的人员，不列入排查范围。在做好常态化排查的基础上，每年至少开展一次集中排查。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right="0" w:rightChars="0"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（3）部门筛查预警。全县健全常态化防止返贫监测部门筛查预警机制，按照“部门筛查、集中交办、入户核查、结果反馈、跟踪盯办”的程序，定期筛查预警、反馈乡村核实。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lang w:val="en-US" w:eastAsia="zh-CN"/>
        </w:rPr>
        <w:t>6、认定程序是什么？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入户核查核实</w:t>
      </w:r>
      <w:r>
        <w:rPr>
          <w:rFonts w:hint="eastAsia" w:ascii="宋体" w:hAnsi="宋体" w:cs="宋体"/>
          <w:color w:val="auto"/>
          <w:sz w:val="24"/>
        </w:rPr>
        <w:t>→</w:t>
      </w:r>
      <w:r>
        <w:rPr>
          <w:rFonts w:hint="eastAsia" w:ascii="宋体" w:hAnsi="宋体" w:cs="宋体"/>
          <w:color w:val="auto"/>
          <w:sz w:val="24"/>
          <w:lang w:eastAsia="zh-CN"/>
        </w:rPr>
        <w:t>村级评议公示</w:t>
      </w:r>
      <w:r>
        <w:rPr>
          <w:rFonts w:hint="eastAsia" w:ascii="宋体" w:hAnsi="宋体" w:cs="宋体"/>
          <w:color w:val="auto"/>
          <w:sz w:val="24"/>
        </w:rPr>
        <w:t>→</w:t>
      </w:r>
      <w:r>
        <w:rPr>
          <w:rFonts w:hint="eastAsia" w:ascii="宋体" w:hAnsi="宋体" w:cs="宋体"/>
          <w:color w:val="auto"/>
          <w:sz w:val="24"/>
          <w:lang w:eastAsia="zh-CN"/>
        </w:rPr>
        <w:t>乡镇核查初审</w:t>
      </w:r>
      <w:r>
        <w:rPr>
          <w:rFonts w:hint="eastAsia" w:ascii="宋体" w:hAnsi="宋体" w:cs="宋体"/>
          <w:color w:val="auto"/>
          <w:sz w:val="24"/>
        </w:rPr>
        <w:t>→</w:t>
      </w:r>
      <w:r>
        <w:rPr>
          <w:rFonts w:hint="eastAsia" w:ascii="宋体" w:hAnsi="宋体" w:cs="宋体"/>
          <w:color w:val="auto"/>
          <w:sz w:val="24"/>
          <w:lang w:eastAsia="zh-CN"/>
        </w:rPr>
        <w:t>县级比对审定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210" w:leftChars="100" w:right="0" w:rightChars="0"/>
        <w:jc w:val="center"/>
        <w:textAlignment w:val="auto"/>
        <w:rPr>
          <w:rFonts w:hint="eastAsia" w:ascii="华文隶书" w:hAnsi="华文隶书" w:eastAsia="华文隶书" w:cs="华文隶书"/>
          <w:color w:val="auto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210" w:leftChars="100" w:right="0" w:rightChars="0"/>
        <w:jc w:val="center"/>
        <w:textAlignment w:val="auto"/>
        <w:rPr>
          <w:rFonts w:hint="eastAsia" w:ascii="华文隶书" w:hAnsi="华文隶书" w:eastAsia="华文隶书" w:cs="华文隶书"/>
          <w:color w:val="auto"/>
          <w:sz w:val="36"/>
          <w:szCs w:val="36"/>
          <w:lang w:eastAsia="zh-CN"/>
        </w:rPr>
      </w:pPr>
      <w:r>
        <w:rPr>
          <w:rFonts w:hint="eastAsia" w:ascii="华文隶书" w:hAnsi="华文隶书" w:eastAsia="华文隶书" w:cs="华文隶书"/>
          <w:color w:val="auto"/>
          <w:sz w:val="36"/>
          <w:szCs w:val="36"/>
          <w:lang w:eastAsia="zh-CN"/>
        </w:rPr>
        <w:t>二</w:t>
      </w:r>
      <w:r>
        <w:rPr>
          <w:rFonts w:hint="eastAsia" w:ascii="华文隶书" w:hAnsi="华文隶书" w:eastAsia="华文隶书" w:cs="华文隶书"/>
          <w:color w:val="auto"/>
          <w:sz w:val="36"/>
          <w:szCs w:val="36"/>
        </w:rPr>
        <w:t>、</w:t>
      </w:r>
      <w:r>
        <w:rPr>
          <w:rFonts w:hint="eastAsia" w:ascii="华文隶书" w:hAnsi="华文隶书" w:eastAsia="华文隶书" w:cs="华文隶书"/>
          <w:color w:val="auto"/>
          <w:sz w:val="36"/>
          <w:szCs w:val="36"/>
          <w:lang w:eastAsia="zh-CN"/>
        </w:rPr>
        <w:t>落实帮扶政策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lang w:val="en-US" w:eastAsia="zh-CN"/>
        </w:rPr>
        <w:t>7、 如何确定帮扶措施？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逐户分析返贫致贫风险和劳动能力情况，将监测对象基本信息和《监测对象风险和帮扶需求认定表》及时推送给相关行业部门，通过部门协调会商，对症下药、精准施策确定帮扶救助措施。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对风险单一的实施有针对性的单项措施，对存在多种风险的因户施策落实综合性帮扶措施。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lang w:val="en-US" w:eastAsia="zh-CN"/>
        </w:rPr>
        <w:t>8、帮扶措施都有哪些内容？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eastAsia="宋体"/>
          <w:color w:val="auto"/>
          <w:kern w:val="2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⑴产业帮扶⑵就业帮扶（3）金融帮扶（4）健康帮扶（5）教育帮扶（6）住房安全保障（7）饮水安全保障（8）</w:t>
      </w:r>
      <w:r>
        <w:rPr>
          <w:rFonts w:hint="eastAsia"/>
          <w:color w:val="auto"/>
          <w:kern w:val="2"/>
          <w:lang w:val="en-US" w:eastAsia="zh-CN"/>
        </w:rPr>
        <w:t>扶贫项目资产帮扶（9）兜底保障和社会救助（10）社会帮扶（11）扶志扶智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beforeAutospacing="0" w:after="0" w:afterLines="0" w:afterAutospacing="0" w:line="280" w:lineRule="exact"/>
        <w:ind w:left="210" w:leftChars="100" w:right="0" w:rightChars="0" w:firstLine="480"/>
        <w:textAlignment w:val="auto"/>
        <w:rPr>
          <w:rFonts w:hint="eastAsia" w:ascii="华文隶书" w:hAnsi="华文隶书" w:eastAsia="华文隶书" w:cs="华文隶书"/>
          <w:color w:val="auto"/>
          <w:kern w:val="2"/>
          <w:sz w:val="36"/>
          <w:szCs w:val="36"/>
          <w:lang w:val="en-US" w:eastAsia="zh-CN" w:bidi="ar-SA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210" w:leftChars="100" w:right="0" w:rightChars="0"/>
        <w:jc w:val="center"/>
        <w:textAlignment w:val="auto"/>
        <w:rPr>
          <w:rFonts w:hint="eastAsia" w:ascii="华文隶书" w:hAnsi="华文隶书" w:eastAsia="华文隶书" w:cs="华文隶书"/>
          <w:color w:val="auto"/>
          <w:sz w:val="36"/>
          <w:szCs w:val="36"/>
          <w:lang w:val="en-US" w:eastAsia="zh-CN"/>
        </w:rPr>
      </w:pPr>
      <w:r>
        <w:rPr>
          <w:rFonts w:hint="eastAsia" w:ascii="华文隶书" w:hAnsi="华文隶书" w:eastAsia="华文隶书" w:cs="华文隶书"/>
          <w:color w:val="auto"/>
          <w:sz w:val="36"/>
          <w:szCs w:val="36"/>
          <w:lang w:val="en-US" w:eastAsia="zh-CN"/>
        </w:rPr>
        <w:t xml:space="preserve">三、标注风险消除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lang w:val="en-US" w:eastAsia="zh-CN"/>
        </w:rPr>
        <w:t>9、风险消除的标准有哪些？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基本生活稳定保障、返贫致贫风险稳定消除，或返贫致贫风险自然消失的，可按程序标注风险消除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。具体标准</w:t>
      </w:r>
      <w:r>
        <w:rPr>
          <w:rFonts w:hint="eastAsia" w:ascii="宋体" w:hAnsi="宋体" w:eastAsia="宋体" w:cs="宋体"/>
          <w:color w:val="auto"/>
          <w:sz w:val="24"/>
        </w:rPr>
        <w:t>以下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列</w:t>
      </w:r>
      <w:r>
        <w:rPr>
          <w:rFonts w:hint="eastAsia" w:ascii="宋体" w:hAnsi="宋体" w:eastAsia="宋体" w:cs="宋体"/>
          <w:color w:val="auto"/>
          <w:sz w:val="24"/>
        </w:rPr>
        <w:t>4项指标全部达标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为准</w:t>
      </w:r>
      <w:r>
        <w:rPr>
          <w:rFonts w:hint="eastAsia" w:ascii="宋体" w:hAnsi="宋体" w:eastAsia="宋体" w:cs="宋体"/>
          <w:color w:val="auto"/>
          <w:sz w:val="24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</w:rPr>
        <w:t>根据返贫致贫风险落实针对性帮扶措施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</w:rPr>
        <w:t>“两不愁三保障”及饮水安全持续巩固，即不愁吃不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 xml:space="preserve">           </w:t>
      </w:r>
      <w:r>
        <w:rPr>
          <w:rFonts w:hint="eastAsia" w:ascii="宋体" w:hAnsi="宋体" w:eastAsia="宋体" w:cs="宋体"/>
          <w:color w:val="auto"/>
          <w:sz w:val="24"/>
        </w:rPr>
        <w:t>愁穿、参加基本医疗保险、义务教育阶段无辍学学生、实现住房安全和饮水安全</w:t>
      </w:r>
      <w:r>
        <w:rPr>
          <w:rFonts w:hint="eastAsia" w:ascii="宋体" w:hAnsi="宋体" w:cs="宋体"/>
          <w:color w:val="auto"/>
          <w:sz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cs="宋体"/>
          <w:color w:val="auto"/>
          <w:sz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</w:rPr>
        <w:t>收入持续稳定，家庭人均纯收入稳定超出当地当年度 收入监测范围</w:t>
      </w:r>
      <w:r>
        <w:rPr>
          <w:rFonts w:hint="eastAsia" w:ascii="宋体" w:hAnsi="宋体" w:cs="宋体"/>
          <w:color w:val="auto"/>
          <w:sz w:val="24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</w:rPr>
        <w:t>大额刚性支出问题稳定解决。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lang w:val="en-US" w:eastAsia="zh-CN"/>
        </w:rPr>
        <w:t>10.不能标注风险消除的情形有哪些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除上述4项指标中任何一项不达标不能标注风险消除外，有下列情形之一的，原则上也不能标注风险消除。</w:t>
      </w:r>
      <w:r>
        <w:rPr>
          <w:rFonts w:hint="eastAsia" w:ascii="宋体" w:hAnsi="宋体" w:eastAsia="宋体" w:cs="宋体"/>
          <w:color w:val="auto"/>
          <w:sz w:val="24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宋体" w:hAnsi="宋体" w:eastAsia="宋体" w:cs="宋体"/>
          <w:color w:val="auto"/>
          <w:sz w:val="24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</w:rPr>
        <w:t>新识别的监测对象，一年内不能标注风险消除。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</w:rPr>
        <w:t>监测对象中鳏寡孤独、老弱病残单人户，在未纳入社会保障前不能标注风险消除。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</w:rPr>
        <w:t>整户无劳动能力的监测对象，落实社会保障措施后，经跟踪监测成效尚不稳定的。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（4）监测对象原风险虽已消除，但又出现新的风险的。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（5）监测对象虽获得一次性大额赔偿（抚恤金等），但此外其人均纯收入尚未稳定超过当地当年度防止返贫监测标准的。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/>
        </w:rPr>
      </w:pPr>
      <w:r>
        <w:rPr>
          <w:rFonts w:hint="eastAsia" w:ascii="宋体" w:hAnsi="宋体" w:eastAsia="宋体" w:cs="宋体"/>
          <w:color w:val="auto"/>
          <w:sz w:val="24"/>
        </w:rPr>
        <w:t>（6）监测对象大额刚性支出风险虽已消除，但仍有持续的小额刚性支出，其人均纯收入稳定超过当年度防止返贫监测标准部分不足以抵消的。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lang w:val="en-US" w:eastAsia="zh-CN"/>
        </w:rPr>
        <w:t>11、风险消除程序是什么？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遵循“怎么进怎么出”的原则，对达到风险消除标准的农户，按以下程序标注风险消除。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楷体" w:hAnsi="楷体" w:eastAsia="楷体" w:cs="楷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入户核查核实</w:t>
      </w:r>
      <w:r>
        <w:rPr>
          <w:rFonts w:hint="eastAsia" w:ascii="宋体" w:hAnsi="宋体" w:cs="宋体"/>
          <w:color w:val="auto"/>
          <w:sz w:val="24"/>
        </w:rPr>
        <w:t>→</w:t>
      </w:r>
      <w:r>
        <w:rPr>
          <w:rFonts w:hint="eastAsia" w:ascii="宋体" w:hAnsi="宋体" w:cs="宋体"/>
          <w:color w:val="auto"/>
          <w:sz w:val="24"/>
          <w:lang w:eastAsia="zh-CN"/>
        </w:rPr>
        <w:t>村级评议公示</w:t>
      </w:r>
      <w:r>
        <w:rPr>
          <w:rFonts w:hint="eastAsia" w:ascii="宋体" w:hAnsi="宋体" w:cs="宋体"/>
          <w:color w:val="auto"/>
          <w:sz w:val="24"/>
        </w:rPr>
        <w:t>→</w:t>
      </w:r>
      <w:r>
        <w:rPr>
          <w:rFonts w:hint="eastAsia" w:ascii="宋体" w:hAnsi="宋体" w:cs="宋体"/>
          <w:color w:val="auto"/>
          <w:sz w:val="24"/>
          <w:lang w:eastAsia="zh-CN"/>
        </w:rPr>
        <w:t>乡镇验收审核</w:t>
      </w:r>
      <w:r>
        <w:rPr>
          <w:rFonts w:hint="eastAsia" w:ascii="宋体" w:hAnsi="宋体" w:cs="宋体"/>
          <w:color w:val="auto"/>
          <w:sz w:val="24"/>
        </w:rPr>
        <w:t>→</w:t>
      </w:r>
      <w:r>
        <w:rPr>
          <w:rFonts w:hint="eastAsia" w:ascii="宋体" w:hAnsi="宋体" w:cs="宋体"/>
          <w:color w:val="auto"/>
          <w:sz w:val="24"/>
          <w:lang w:eastAsia="zh-CN"/>
        </w:rPr>
        <w:t>县级审定标注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lang w:val="en-US" w:eastAsia="zh-CN"/>
        </w:rPr>
        <w:t>12、风险消除后如何管理？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标注“风险消除”的监测对象，不再进行监测，不再专门针对风险实施防止返贫帮扶；已落实的小额信贷贴息、公益岗位安置、医疗救助、教育帮扶等帮扶措施，按行业政策要求和实际工作周期及时调整。</w:t>
      </w:r>
    </w:p>
    <w:p>
      <w:pPr>
        <w:pStyle w:val="2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咨询服务电话：0312-5365503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560" w:firstLineChars="19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firstLine="4578" w:firstLineChars="1900"/>
        <w:textAlignment w:val="auto"/>
        <w:rPr>
          <w:rFonts w:hint="eastAsia" w:ascii="楷体" w:hAnsi="楷体" w:eastAsia="楷体" w:cs="楷体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color w:val="auto"/>
          <w:kern w:val="2"/>
          <w:sz w:val="24"/>
          <w:szCs w:val="24"/>
          <w:lang w:val="en-US" w:eastAsia="zh-CN" w:bidi="ar-SA"/>
        </w:rPr>
        <w:t xml:space="preserve"> 涞源县乡村振兴局宣</w:t>
      </w:r>
    </w:p>
    <w:p>
      <w:pPr>
        <w:pStyle w:val="2"/>
        <w:rPr>
          <w:rFonts w:hint="default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</w:p>
    <w:sectPr>
      <w:type w:val="continuous"/>
      <w:pgSz w:w="16840" w:h="23814"/>
      <w:pgMar w:top="1134" w:right="1134" w:bottom="1134" w:left="1134" w:header="851" w:footer="992" w:gutter="0"/>
      <w:cols w:equalWidth="0" w:num="2">
        <w:col w:w="7073" w:space="425"/>
        <w:col w:w="7073"/>
      </w:cols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EA73DA"/>
    <w:rsid w:val="21BF018D"/>
    <w:rsid w:val="297E7821"/>
    <w:rsid w:val="2D7911D6"/>
    <w:rsid w:val="2D9B3AF4"/>
    <w:rsid w:val="3A6126CC"/>
    <w:rsid w:val="46C6216B"/>
    <w:rsid w:val="4AE03593"/>
    <w:rsid w:val="4E052218"/>
    <w:rsid w:val="5F2E7E32"/>
    <w:rsid w:val="63CE3F9C"/>
    <w:rsid w:val="6560777A"/>
    <w:rsid w:val="6823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pacing w:line="360" w:lineRule="auto"/>
      <w:ind w:firstLine="420" w:firstLineChars="200"/>
    </w:pPr>
    <w:rPr>
      <w:rFonts w:eastAsia="仿宋"/>
      <w:sz w:val="28"/>
      <w:szCs w:val="22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余生。</cp:lastModifiedBy>
  <dcterms:modified xsi:type="dcterms:W3CDTF">2021-12-08T01:47:00Z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F1710406F50E4E5397DB2DBB3CFD4CF4</vt:lpwstr>
  </property>
</Properties>
</file>