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648C8E">
      <w:pPr>
        <w:widowControl/>
        <w:jc w:val="left"/>
      </w:pPr>
      <w:bookmarkStart w:id="1" w:name="_GoBack"/>
      <w:bookmarkEnd w:id="1"/>
    </w:p>
    <w:p w14:paraId="023347BF">
      <w:pPr>
        <w:widowControl/>
        <w:jc w:val="center"/>
        <w:rPr>
          <w:rFonts w:hint="eastAsia"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涞源县行政审批局主动公开事项目录（初稿）</w:t>
      </w:r>
    </w:p>
    <w:tbl>
      <w:tblPr>
        <w:tblStyle w:val="5"/>
        <w:tblW w:w="2027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13" w:type="dxa"/>
          <w:left w:w="108" w:type="dxa"/>
          <w:bottom w:w="113" w:type="dxa"/>
          <w:right w:w="108" w:type="dxa"/>
        </w:tblCellMar>
      </w:tblPr>
      <w:tblGrid>
        <w:gridCol w:w="643"/>
        <w:gridCol w:w="1538"/>
        <w:gridCol w:w="1495"/>
        <w:gridCol w:w="2490"/>
        <w:gridCol w:w="4900"/>
        <w:gridCol w:w="2563"/>
        <w:gridCol w:w="2445"/>
        <w:gridCol w:w="1815"/>
        <w:gridCol w:w="2386"/>
      </w:tblGrid>
      <w:tr w14:paraId="575AD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641" w:hRule="atLeast"/>
          <w:tblHeader/>
        </w:trPr>
        <w:tc>
          <w:tcPr>
            <w:tcW w:w="643" w:type="dxa"/>
            <w:vMerge w:val="restart"/>
            <w:vAlign w:val="center"/>
          </w:tcPr>
          <w:p w14:paraId="6C35E632">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序号</w:t>
            </w:r>
          </w:p>
        </w:tc>
        <w:tc>
          <w:tcPr>
            <w:tcW w:w="3033" w:type="dxa"/>
            <w:gridSpan w:val="2"/>
            <w:vAlign w:val="center"/>
          </w:tcPr>
          <w:p w14:paraId="3E449573">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公开事项</w:t>
            </w:r>
          </w:p>
        </w:tc>
        <w:tc>
          <w:tcPr>
            <w:tcW w:w="2490" w:type="dxa"/>
            <w:vMerge w:val="restart"/>
            <w:vAlign w:val="center"/>
          </w:tcPr>
          <w:p w14:paraId="3C7CE0AE">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公开内容</w:t>
            </w:r>
          </w:p>
        </w:tc>
        <w:tc>
          <w:tcPr>
            <w:tcW w:w="4900" w:type="dxa"/>
            <w:vMerge w:val="restart"/>
            <w:vAlign w:val="center"/>
          </w:tcPr>
          <w:p w14:paraId="7A474C6F">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公开依据（具体到条款项）</w:t>
            </w:r>
          </w:p>
        </w:tc>
        <w:tc>
          <w:tcPr>
            <w:tcW w:w="2563" w:type="dxa"/>
            <w:vMerge w:val="restart"/>
            <w:vAlign w:val="center"/>
          </w:tcPr>
          <w:p w14:paraId="035982E3">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公开时限</w:t>
            </w:r>
          </w:p>
        </w:tc>
        <w:tc>
          <w:tcPr>
            <w:tcW w:w="2445" w:type="dxa"/>
            <w:vMerge w:val="restart"/>
            <w:vAlign w:val="center"/>
          </w:tcPr>
          <w:p w14:paraId="63DB9CDF">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公开渠道和载体</w:t>
            </w:r>
          </w:p>
        </w:tc>
        <w:tc>
          <w:tcPr>
            <w:tcW w:w="1815" w:type="dxa"/>
            <w:vMerge w:val="restart"/>
            <w:vAlign w:val="center"/>
          </w:tcPr>
          <w:p w14:paraId="35D30D90">
            <w:pPr>
              <w:widowControl/>
              <w:spacing w:line="280" w:lineRule="exact"/>
              <w:ind w:left="-105" w:leftChars="-50" w:right="-105" w:rightChars="-50"/>
              <w:jc w:val="center"/>
              <w:rPr>
                <w:rFonts w:hint="eastAsia" w:ascii="黑体" w:hAnsi="黑体" w:eastAsia="黑体" w:cs="宋体"/>
                <w:kern w:val="0"/>
                <w:sz w:val="22"/>
              </w:rPr>
            </w:pPr>
            <w:r>
              <w:rPr>
                <w:rFonts w:hint="eastAsia" w:ascii="黑体" w:hAnsi="黑体" w:eastAsia="黑体" w:cs="宋体"/>
                <w:kern w:val="0"/>
                <w:sz w:val="22"/>
              </w:rPr>
              <w:t>公开对象</w:t>
            </w:r>
          </w:p>
        </w:tc>
        <w:tc>
          <w:tcPr>
            <w:tcW w:w="2386" w:type="dxa"/>
            <w:vMerge w:val="restart"/>
            <w:vAlign w:val="center"/>
          </w:tcPr>
          <w:p w14:paraId="6AD6CEEB">
            <w:pPr>
              <w:widowControl/>
              <w:spacing w:line="280" w:lineRule="exact"/>
              <w:ind w:left="-105" w:leftChars="-50" w:right="-105" w:rightChars="-50"/>
              <w:jc w:val="center"/>
              <w:rPr>
                <w:rFonts w:hint="eastAsia" w:ascii="黑体" w:hAnsi="黑体" w:eastAsia="黑体" w:cs="宋体"/>
                <w:kern w:val="0"/>
                <w:sz w:val="22"/>
              </w:rPr>
            </w:pPr>
            <w:r>
              <w:rPr>
                <w:rFonts w:hint="eastAsia" w:ascii="黑体" w:hAnsi="黑体" w:eastAsia="黑体" w:cs="宋体"/>
                <w:kern w:val="0"/>
                <w:sz w:val="22"/>
              </w:rPr>
              <w:t>公开主体（责任科室）</w:t>
            </w:r>
          </w:p>
        </w:tc>
      </w:tr>
      <w:tr w14:paraId="33415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609" w:hRule="atLeast"/>
          <w:tblHeader/>
        </w:trPr>
        <w:tc>
          <w:tcPr>
            <w:tcW w:w="643" w:type="dxa"/>
            <w:vMerge w:val="continue"/>
            <w:vAlign w:val="center"/>
          </w:tcPr>
          <w:p w14:paraId="06A658FC">
            <w:pPr>
              <w:widowControl/>
              <w:spacing w:line="280" w:lineRule="exact"/>
              <w:jc w:val="center"/>
              <w:rPr>
                <w:rFonts w:hint="eastAsia" w:ascii="黑体" w:hAnsi="黑体" w:eastAsia="黑体" w:cs="宋体"/>
                <w:kern w:val="0"/>
                <w:sz w:val="22"/>
              </w:rPr>
            </w:pPr>
          </w:p>
        </w:tc>
        <w:tc>
          <w:tcPr>
            <w:tcW w:w="1538" w:type="dxa"/>
            <w:vAlign w:val="center"/>
          </w:tcPr>
          <w:p w14:paraId="0281B6B8">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一级事项</w:t>
            </w:r>
          </w:p>
        </w:tc>
        <w:tc>
          <w:tcPr>
            <w:tcW w:w="1495" w:type="dxa"/>
            <w:vAlign w:val="center"/>
          </w:tcPr>
          <w:p w14:paraId="4FFE6D26">
            <w:pPr>
              <w:widowControl/>
              <w:spacing w:line="280" w:lineRule="exact"/>
              <w:jc w:val="center"/>
              <w:rPr>
                <w:rFonts w:hint="eastAsia" w:ascii="黑体" w:hAnsi="黑体" w:eastAsia="黑体" w:cs="宋体"/>
                <w:kern w:val="0"/>
                <w:sz w:val="22"/>
              </w:rPr>
            </w:pPr>
            <w:r>
              <w:rPr>
                <w:rFonts w:hint="eastAsia" w:ascii="黑体" w:hAnsi="黑体" w:eastAsia="黑体" w:cs="宋体"/>
                <w:kern w:val="0"/>
                <w:sz w:val="22"/>
              </w:rPr>
              <w:t>二级事项</w:t>
            </w:r>
          </w:p>
        </w:tc>
        <w:tc>
          <w:tcPr>
            <w:tcW w:w="2490" w:type="dxa"/>
            <w:vMerge w:val="continue"/>
            <w:vAlign w:val="center"/>
          </w:tcPr>
          <w:p w14:paraId="4F01F075">
            <w:pPr>
              <w:widowControl/>
              <w:spacing w:line="280" w:lineRule="exact"/>
              <w:jc w:val="center"/>
              <w:rPr>
                <w:rFonts w:hint="eastAsia" w:ascii="黑体" w:hAnsi="黑体" w:eastAsia="黑体" w:cs="宋体"/>
                <w:kern w:val="0"/>
                <w:sz w:val="22"/>
              </w:rPr>
            </w:pPr>
          </w:p>
        </w:tc>
        <w:tc>
          <w:tcPr>
            <w:tcW w:w="4900" w:type="dxa"/>
            <w:vMerge w:val="continue"/>
            <w:vAlign w:val="center"/>
          </w:tcPr>
          <w:p w14:paraId="753442EC">
            <w:pPr>
              <w:widowControl/>
              <w:spacing w:line="280" w:lineRule="exact"/>
              <w:jc w:val="center"/>
              <w:rPr>
                <w:rFonts w:hint="eastAsia" w:ascii="黑体" w:hAnsi="黑体" w:eastAsia="黑体" w:cs="宋体"/>
                <w:kern w:val="0"/>
                <w:sz w:val="22"/>
              </w:rPr>
            </w:pPr>
          </w:p>
        </w:tc>
        <w:tc>
          <w:tcPr>
            <w:tcW w:w="2563" w:type="dxa"/>
            <w:vMerge w:val="continue"/>
            <w:vAlign w:val="center"/>
          </w:tcPr>
          <w:p w14:paraId="6FBD7683">
            <w:pPr>
              <w:widowControl/>
              <w:spacing w:line="280" w:lineRule="exact"/>
              <w:jc w:val="center"/>
              <w:rPr>
                <w:rFonts w:hint="eastAsia" w:ascii="黑体" w:hAnsi="黑体" w:eastAsia="黑体" w:cs="宋体"/>
                <w:kern w:val="0"/>
                <w:sz w:val="22"/>
              </w:rPr>
            </w:pPr>
          </w:p>
        </w:tc>
        <w:tc>
          <w:tcPr>
            <w:tcW w:w="2445" w:type="dxa"/>
            <w:vMerge w:val="continue"/>
            <w:vAlign w:val="center"/>
          </w:tcPr>
          <w:p w14:paraId="7076B52A">
            <w:pPr>
              <w:widowControl/>
              <w:spacing w:line="280" w:lineRule="exact"/>
              <w:jc w:val="center"/>
              <w:rPr>
                <w:rFonts w:hint="eastAsia" w:ascii="黑体" w:hAnsi="黑体" w:eastAsia="黑体" w:cs="宋体"/>
                <w:kern w:val="0"/>
                <w:sz w:val="22"/>
              </w:rPr>
            </w:pPr>
          </w:p>
        </w:tc>
        <w:tc>
          <w:tcPr>
            <w:tcW w:w="1815" w:type="dxa"/>
            <w:vMerge w:val="continue"/>
            <w:vAlign w:val="center"/>
          </w:tcPr>
          <w:p w14:paraId="0ABC6143">
            <w:pPr>
              <w:widowControl/>
              <w:spacing w:line="280" w:lineRule="exact"/>
              <w:ind w:left="-105" w:leftChars="-50" w:right="-105" w:rightChars="-50"/>
              <w:jc w:val="center"/>
              <w:rPr>
                <w:rFonts w:hint="eastAsia" w:ascii="黑体" w:hAnsi="黑体" w:eastAsia="黑体" w:cs="宋体"/>
                <w:kern w:val="0"/>
                <w:sz w:val="22"/>
              </w:rPr>
            </w:pPr>
          </w:p>
        </w:tc>
        <w:tc>
          <w:tcPr>
            <w:tcW w:w="2386" w:type="dxa"/>
            <w:vMerge w:val="continue"/>
            <w:vAlign w:val="center"/>
          </w:tcPr>
          <w:p w14:paraId="24ACD7DF">
            <w:pPr>
              <w:widowControl/>
              <w:spacing w:line="280" w:lineRule="exact"/>
              <w:ind w:left="-105" w:leftChars="-50" w:right="-105" w:rightChars="-50"/>
              <w:jc w:val="center"/>
              <w:rPr>
                <w:rFonts w:hint="eastAsia" w:ascii="黑体" w:hAnsi="黑体" w:eastAsia="黑体" w:cs="宋体"/>
                <w:kern w:val="0"/>
                <w:sz w:val="22"/>
              </w:rPr>
            </w:pPr>
          </w:p>
        </w:tc>
      </w:tr>
      <w:tr w14:paraId="05389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134" w:hRule="exact"/>
        </w:trPr>
        <w:tc>
          <w:tcPr>
            <w:tcW w:w="643" w:type="dxa"/>
            <w:vAlign w:val="center"/>
          </w:tcPr>
          <w:p w14:paraId="4DDC32FD">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w:t>
            </w:r>
          </w:p>
        </w:tc>
        <w:tc>
          <w:tcPr>
            <w:tcW w:w="1538" w:type="dxa"/>
            <w:vMerge w:val="restart"/>
            <w:vAlign w:val="center"/>
          </w:tcPr>
          <w:p w14:paraId="2BFC0DD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机构信息</w:t>
            </w:r>
          </w:p>
        </w:tc>
        <w:tc>
          <w:tcPr>
            <w:tcW w:w="1495" w:type="dxa"/>
            <w:vAlign w:val="center"/>
          </w:tcPr>
          <w:p w14:paraId="7AA2B40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基本信息</w:t>
            </w:r>
          </w:p>
        </w:tc>
        <w:tc>
          <w:tcPr>
            <w:tcW w:w="2490" w:type="dxa"/>
            <w:vAlign w:val="center"/>
          </w:tcPr>
          <w:p w14:paraId="51464D89">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1.机构名称</w:t>
            </w:r>
          </w:p>
          <w:p w14:paraId="30FA81B9">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2.联系方式</w:t>
            </w:r>
          </w:p>
          <w:p w14:paraId="026A0745">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3.办公地址</w:t>
            </w:r>
          </w:p>
          <w:p w14:paraId="684A7E1D">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4.办公时间</w:t>
            </w:r>
          </w:p>
        </w:tc>
        <w:tc>
          <w:tcPr>
            <w:tcW w:w="4900" w:type="dxa"/>
            <w:vMerge w:val="restart"/>
            <w:vAlign w:val="center"/>
          </w:tcPr>
          <w:p w14:paraId="657424C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1.《中华人民共和国政府信息公开条例》第二十条“行政机关应当依照本条例第十九条的规定，主动公开本行政机关的下列政府信息：（二）机关职能、机构设置、办公地址、办公时间、联系方式、负责人姓名”</w:t>
            </w:r>
          </w:p>
          <w:p w14:paraId="6EE7B38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2.《河北省实施&lt;中华人民共和国政府信息公开条例&gt;办法》第六条“对《条例》第十九条、第二十条、第二十一条规定的主动公开的政府信息，行政机关应当逐项研究，界定范围，明确公开的具体内容”</w:t>
            </w:r>
          </w:p>
        </w:tc>
        <w:tc>
          <w:tcPr>
            <w:tcW w:w="2563" w:type="dxa"/>
            <w:vMerge w:val="restart"/>
            <w:vAlign w:val="center"/>
          </w:tcPr>
          <w:p w14:paraId="520EFDE7">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p w14:paraId="4AF99221">
            <w:pPr>
              <w:widowControl/>
              <w:spacing w:line="280" w:lineRule="exact"/>
              <w:rPr>
                <w:rFonts w:hint="eastAsia" w:asciiTheme="majorEastAsia" w:hAnsiTheme="majorEastAsia" w:eastAsiaTheme="majorEastAsia" w:cstheme="majorEastAsia"/>
                <w:kern w:val="0"/>
                <w:sz w:val="22"/>
              </w:rPr>
            </w:pPr>
          </w:p>
        </w:tc>
        <w:tc>
          <w:tcPr>
            <w:tcW w:w="2445" w:type="dxa"/>
            <w:vAlign w:val="center"/>
          </w:tcPr>
          <w:p w14:paraId="784CAF73">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5EB2405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30DCFA54">
            <w:pPr>
              <w:widowControl/>
              <w:spacing w:line="280" w:lineRule="exact"/>
              <w:ind w:firstLine="220" w:firstLineChars="100"/>
              <w:rPr>
                <w:rFonts w:hint="eastAsia" w:asciiTheme="majorEastAsia" w:hAnsiTheme="majorEastAsia" w:eastAsiaTheme="majorEastAsia" w:cstheme="majorEastAsia"/>
                <w:kern w:val="0"/>
                <w:sz w:val="22"/>
              </w:rPr>
            </w:pPr>
            <w:bookmarkStart w:id="0" w:name="OLE_LINK1"/>
            <w:r>
              <w:rPr>
                <w:rFonts w:hint="eastAsia" w:asciiTheme="majorEastAsia" w:hAnsiTheme="majorEastAsia" w:eastAsiaTheme="majorEastAsia" w:cstheme="majorEastAsia"/>
                <w:kern w:val="0"/>
                <w:sz w:val="22"/>
              </w:rPr>
              <w:t>行政审批局</w:t>
            </w:r>
            <w:bookmarkEnd w:id="0"/>
          </w:p>
          <w:p w14:paraId="3190C6DE">
            <w:pPr>
              <w:widowControl/>
              <w:spacing w:line="280" w:lineRule="exact"/>
              <w:ind w:firstLine="660" w:firstLineChars="300"/>
              <w:rPr>
                <w:rFonts w:hint="eastAsia"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办公室</w:t>
            </w:r>
          </w:p>
        </w:tc>
      </w:tr>
      <w:tr w14:paraId="3F1E6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134" w:hRule="exact"/>
        </w:trPr>
        <w:tc>
          <w:tcPr>
            <w:tcW w:w="643" w:type="dxa"/>
            <w:vAlign w:val="center"/>
          </w:tcPr>
          <w:p w14:paraId="5D235705">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w:t>
            </w:r>
          </w:p>
        </w:tc>
        <w:tc>
          <w:tcPr>
            <w:tcW w:w="1538" w:type="dxa"/>
            <w:vMerge w:val="continue"/>
            <w:vAlign w:val="center"/>
          </w:tcPr>
          <w:p w14:paraId="342BD1FB">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1DB9BB1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法定职责</w:t>
            </w:r>
          </w:p>
        </w:tc>
        <w:tc>
          <w:tcPr>
            <w:tcW w:w="2490" w:type="dxa"/>
            <w:vAlign w:val="center"/>
          </w:tcPr>
          <w:p w14:paraId="4557384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依据“三定”规定确定的本部门法定职责</w:t>
            </w:r>
          </w:p>
        </w:tc>
        <w:tc>
          <w:tcPr>
            <w:tcW w:w="4900" w:type="dxa"/>
            <w:vMerge w:val="continue"/>
            <w:vAlign w:val="center"/>
          </w:tcPr>
          <w:p w14:paraId="53E21BF7">
            <w:pPr>
              <w:widowControl/>
              <w:spacing w:line="280" w:lineRule="exact"/>
              <w:rPr>
                <w:rFonts w:hint="eastAsia" w:asciiTheme="majorEastAsia" w:hAnsiTheme="majorEastAsia" w:eastAsiaTheme="majorEastAsia" w:cstheme="majorEastAsia"/>
                <w:kern w:val="0"/>
                <w:sz w:val="22"/>
              </w:rPr>
            </w:pPr>
          </w:p>
        </w:tc>
        <w:tc>
          <w:tcPr>
            <w:tcW w:w="2563" w:type="dxa"/>
            <w:vMerge w:val="continue"/>
            <w:vAlign w:val="center"/>
          </w:tcPr>
          <w:p w14:paraId="4B3FA2A7">
            <w:pPr>
              <w:widowControl/>
              <w:spacing w:line="280" w:lineRule="exact"/>
              <w:rPr>
                <w:rFonts w:hint="eastAsia" w:asciiTheme="majorEastAsia" w:hAnsiTheme="majorEastAsia" w:eastAsiaTheme="majorEastAsia" w:cstheme="majorEastAsia"/>
                <w:kern w:val="0"/>
                <w:sz w:val="22"/>
              </w:rPr>
            </w:pPr>
          </w:p>
        </w:tc>
        <w:tc>
          <w:tcPr>
            <w:tcW w:w="2445" w:type="dxa"/>
            <w:vAlign w:val="center"/>
          </w:tcPr>
          <w:p w14:paraId="317E9F77">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4DA53FF4">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0FE4BA53">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7597F72C">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00C0C5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134" w:hRule="exact"/>
        </w:trPr>
        <w:tc>
          <w:tcPr>
            <w:tcW w:w="643" w:type="dxa"/>
            <w:vAlign w:val="center"/>
          </w:tcPr>
          <w:p w14:paraId="63064F31">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w:t>
            </w:r>
          </w:p>
        </w:tc>
        <w:tc>
          <w:tcPr>
            <w:tcW w:w="1538" w:type="dxa"/>
            <w:vMerge w:val="continue"/>
            <w:vAlign w:val="center"/>
          </w:tcPr>
          <w:p w14:paraId="105C173C">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1749B5F4">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领导简历</w:t>
            </w:r>
          </w:p>
        </w:tc>
        <w:tc>
          <w:tcPr>
            <w:tcW w:w="2490" w:type="dxa"/>
            <w:vAlign w:val="center"/>
          </w:tcPr>
          <w:p w14:paraId="440FF35E">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1.姓名</w:t>
            </w:r>
          </w:p>
          <w:p w14:paraId="069C5EC9">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2.职务</w:t>
            </w:r>
          </w:p>
          <w:p w14:paraId="228ED4E6">
            <w:p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3.工作分工</w:t>
            </w:r>
          </w:p>
        </w:tc>
        <w:tc>
          <w:tcPr>
            <w:tcW w:w="4900" w:type="dxa"/>
            <w:vMerge w:val="continue"/>
            <w:vAlign w:val="center"/>
          </w:tcPr>
          <w:p w14:paraId="4A60A8BD">
            <w:pPr>
              <w:widowControl/>
              <w:spacing w:line="280" w:lineRule="exact"/>
              <w:rPr>
                <w:rFonts w:hint="eastAsia" w:asciiTheme="majorEastAsia" w:hAnsiTheme="majorEastAsia" w:eastAsiaTheme="majorEastAsia" w:cstheme="majorEastAsia"/>
                <w:kern w:val="0"/>
                <w:sz w:val="22"/>
              </w:rPr>
            </w:pPr>
          </w:p>
        </w:tc>
        <w:tc>
          <w:tcPr>
            <w:tcW w:w="2563" w:type="dxa"/>
            <w:vMerge w:val="continue"/>
            <w:vAlign w:val="center"/>
          </w:tcPr>
          <w:p w14:paraId="292D5AEF">
            <w:pPr>
              <w:widowControl/>
              <w:spacing w:line="280" w:lineRule="exact"/>
              <w:rPr>
                <w:rFonts w:hint="eastAsia" w:asciiTheme="majorEastAsia" w:hAnsiTheme="majorEastAsia" w:eastAsiaTheme="majorEastAsia" w:cstheme="majorEastAsia"/>
                <w:kern w:val="0"/>
                <w:sz w:val="22"/>
              </w:rPr>
            </w:pPr>
          </w:p>
        </w:tc>
        <w:tc>
          <w:tcPr>
            <w:tcW w:w="2445" w:type="dxa"/>
            <w:vAlign w:val="center"/>
          </w:tcPr>
          <w:p w14:paraId="6B503A6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6BE6FA71">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2CBCEF8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28827382">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17AE2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134" w:hRule="exact"/>
        </w:trPr>
        <w:tc>
          <w:tcPr>
            <w:tcW w:w="643" w:type="dxa"/>
            <w:vAlign w:val="center"/>
          </w:tcPr>
          <w:p w14:paraId="51729314">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4</w:t>
            </w:r>
          </w:p>
        </w:tc>
        <w:tc>
          <w:tcPr>
            <w:tcW w:w="1538" w:type="dxa"/>
            <w:vMerge w:val="continue"/>
            <w:vAlign w:val="center"/>
          </w:tcPr>
          <w:p w14:paraId="171E7279">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2120C9A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内设机构</w:t>
            </w:r>
          </w:p>
        </w:tc>
        <w:tc>
          <w:tcPr>
            <w:tcW w:w="2490" w:type="dxa"/>
            <w:vAlign w:val="center"/>
          </w:tcPr>
          <w:p w14:paraId="2A0346B9">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1.内设机构名称</w:t>
            </w:r>
          </w:p>
          <w:p w14:paraId="56F13F09">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2.主要职责</w:t>
            </w:r>
          </w:p>
        </w:tc>
        <w:tc>
          <w:tcPr>
            <w:tcW w:w="4900" w:type="dxa"/>
            <w:vMerge w:val="continue"/>
            <w:vAlign w:val="center"/>
          </w:tcPr>
          <w:p w14:paraId="5A6F1A46">
            <w:pPr>
              <w:widowControl/>
              <w:spacing w:line="280" w:lineRule="exact"/>
              <w:rPr>
                <w:rFonts w:hint="eastAsia" w:asciiTheme="majorEastAsia" w:hAnsiTheme="majorEastAsia" w:eastAsiaTheme="majorEastAsia" w:cstheme="majorEastAsia"/>
                <w:kern w:val="0"/>
                <w:sz w:val="22"/>
              </w:rPr>
            </w:pPr>
          </w:p>
        </w:tc>
        <w:tc>
          <w:tcPr>
            <w:tcW w:w="2563" w:type="dxa"/>
            <w:vMerge w:val="continue"/>
            <w:vAlign w:val="center"/>
          </w:tcPr>
          <w:p w14:paraId="58BB2F12">
            <w:pPr>
              <w:widowControl/>
              <w:spacing w:line="280" w:lineRule="exact"/>
              <w:rPr>
                <w:rFonts w:hint="eastAsia" w:asciiTheme="majorEastAsia" w:hAnsiTheme="majorEastAsia" w:eastAsiaTheme="majorEastAsia" w:cstheme="majorEastAsia"/>
                <w:kern w:val="0"/>
                <w:sz w:val="22"/>
              </w:rPr>
            </w:pPr>
          </w:p>
        </w:tc>
        <w:tc>
          <w:tcPr>
            <w:tcW w:w="2445" w:type="dxa"/>
            <w:vAlign w:val="center"/>
          </w:tcPr>
          <w:p w14:paraId="595DBD5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51C25F46">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7DB3504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5C7D8086">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3A05B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148" w:hRule="atLeast"/>
        </w:trPr>
        <w:tc>
          <w:tcPr>
            <w:tcW w:w="643" w:type="dxa"/>
            <w:vAlign w:val="center"/>
          </w:tcPr>
          <w:p w14:paraId="51C7E78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5</w:t>
            </w:r>
          </w:p>
        </w:tc>
        <w:tc>
          <w:tcPr>
            <w:tcW w:w="1538" w:type="dxa"/>
            <w:vMerge w:val="continue"/>
            <w:vAlign w:val="center"/>
          </w:tcPr>
          <w:p w14:paraId="4A4842F0">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6C08867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下属单位</w:t>
            </w:r>
          </w:p>
        </w:tc>
        <w:tc>
          <w:tcPr>
            <w:tcW w:w="2490" w:type="dxa"/>
            <w:vAlign w:val="center"/>
          </w:tcPr>
          <w:p w14:paraId="18ABBBA9">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1.单位名称</w:t>
            </w:r>
          </w:p>
          <w:p w14:paraId="59E25BC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2.负责人信息</w:t>
            </w:r>
          </w:p>
          <w:p w14:paraId="0460D0D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3.主要职责</w:t>
            </w:r>
          </w:p>
        </w:tc>
        <w:tc>
          <w:tcPr>
            <w:tcW w:w="4900" w:type="dxa"/>
            <w:vMerge w:val="continue"/>
            <w:vAlign w:val="center"/>
          </w:tcPr>
          <w:p w14:paraId="5628AED3">
            <w:pPr>
              <w:widowControl/>
              <w:spacing w:line="280" w:lineRule="exact"/>
              <w:rPr>
                <w:rFonts w:hint="eastAsia" w:asciiTheme="majorEastAsia" w:hAnsiTheme="majorEastAsia" w:eastAsiaTheme="majorEastAsia" w:cstheme="majorEastAsia"/>
                <w:kern w:val="0"/>
                <w:sz w:val="22"/>
              </w:rPr>
            </w:pPr>
          </w:p>
        </w:tc>
        <w:tc>
          <w:tcPr>
            <w:tcW w:w="2563" w:type="dxa"/>
            <w:vMerge w:val="continue"/>
            <w:vAlign w:val="center"/>
          </w:tcPr>
          <w:p w14:paraId="336ADC16">
            <w:pPr>
              <w:widowControl/>
              <w:spacing w:line="280" w:lineRule="exact"/>
              <w:rPr>
                <w:rFonts w:hint="eastAsia" w:asciiTheme="majorEastAsia" w:hAnsiTheme="majorEastAsia" w:eastAsiaTheme="majorEastAsia" w:cstheme="majorEastAsia"/>
                <w:kern w:val="0"/>
                <w:sz w:val="22"/>
              </w:rPr>
            </w:pPr>
          </w:p>
        </w:tc>
        <w:tc>
          <w:tcPr>
            <w:tcW w:w="2445" w:type="dxa"/>
            <w:vAlign w:val="center"/>
          </w:tcPr>
          <w:p w14:paraId="3B63892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548D696C">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1724441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0B6036C8">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572D4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3213" w:hRule="atLeast"/>
        </w:trPr>
        <w:tc>
          <w:tcPr>
            <w:tcW w:w="643" w:type="dxa"/>
            <w:vAlign w:val="center"/>
          </w:tcPr>
          <w:p w14:paraId="2370FAE1">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6</w:t>
            </w:r>
          </w:p>
        </w:tc>
        <w:tc>
          <w:tcPr>
            <w:tcW w:w="3033" w:type="dxa"/>
            <w:gridSpan w:val="2"/>
            <w:vAlign w:val="center"/>
          </w:tcPr>
          <w:p w14:paraId="7AE714C4">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政府信息公开制度信息</w:t>
            </w:r>
          </w:p>
        </w:tc>
        <w:tc>
          <w:tcPr>
            <w:tcW w:w="2490" w:type="dxa"/>
            <w:vAlign w:val="center"/>
          </w:tcPr>
          <w:p w14:paraId="06FEC9F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1.公开指南</w:t>
            </w:r>
          </w:p>
          <w:p w14:paraId="495C44CC">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2.公开制度</w:t>
            </w:r>
          </w:p>
          <w:p w14:paraId="5754B5A9">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3.公开年报</w:t>
            </w:r>
          </w:p>
        </w:tc>
        <w:tc>
          <w:tcPr>
            <w:tcW w:w="4900" w:type="dxa"/>
            <w:vAlign w:val="center"/>
          </w:tcPr>
          <w:p w14:paraId="0338E216">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十二条“行政机关编制、公布的政府信息公开指南和政府信息公开目录应当及时更新”，第四十九条“县级以上人民政府部门应当在每年1月31日前向本级政府信息公开工作主管部门提交本行政机关上一年度政府信息公开工作年度报告并向社会公开。县级以上地方人民政府的政府信息公开工作主管部门应当在每年3月31日前向社会公布本级政府上一年度政府信息公开工作年度报告”</w:t>
            </w:r>
          </w:p>
          <w:p w14:paraId="5B1F0C3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2.《河北省实施&lt;中华人民共和国政府信息公开条例&gt;办法》第六条“对《条例》第十九条、第二十条、第二十一条规定的主动公开的政府信息，行政机关应当逐项研究，界定范围，明确公开的具体内容”</w:t>
            </w:r>
          </w:p>
        </w:tc>
        <w:tc>
          <w:tcPr>
            <w:tcW w:w="2563" w:type="dxa"/>
            <w:vAlign w:val="center"/>
          </w:tcPr>
          <w:p w14:paraId="63EED45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353564D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5F5D3062">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7FF8AE3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36FCDDCC">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政策法规股</w:t>
            </w:r>
          </w:p>
        </w:tc>
      </w:tr>
      <w:tr w14:paraId="16191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2245" w:hRule="atLeast"/>
        </w:trPr>
        <w:tc>
          <w:tcPr>
            <w:tcW w:w="643" w:type="dxa"/>
            <w:vAlign w:val="center"/>
          </w:tcPr>
          <w:p w14:paraId="2620A70C">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7</w:t>
            </w:r>
          </w:p>
        </w:tc>
        <w:tc>
          <w:tcPr>
            <w:tcW w:w="1538" w:type="dxa"/>
            <w:vAlign w:val="center"/>
          </w:tcPr>
          <w:p w14:paraId="076E257F">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3F2577AD">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政策解读</w:t>
            </w:r>
          </w:p>
        </w:tc>
        <w:tc>
          <w:tcPr>
            <w:tcW w:w="2490" w:type="dxa"/>
            <w:vAlign w:val="center"/>
          </w:tcPr>
          <w:p w14:paraId="676630B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对以</w:t>
            </w:r>
            <w:r>
              <w:rPr>
                <w:rFonts w:hint="eastAsia" w:asciiTheme="majorEastAsia" w:hAnsiTheme="majorEastAsia" w:eastAsiaTheme="majorEastAsia" w:cstheme="majorEastAsia"/>
                <w:kern w:val="0"/>
                <w:sz w:val="22"/>
                <w:lang w:val="en-US" w:eastAsia="zh-CN"/>
              </w:rPr>
              <w:t>行政审批局</w:t>
            </w:r>
            <w:r>
              <w:rPr>
                <w:rFonts w:hint="eastAsia" w:asciiTheme="majorEastAsia" w:hAnsiTheme="majorEastAsia" w:eastAsiaTheme="majorEastAsia" w:cstheme="majorEastAsia"/>
                <w:kern w:val="0"/>
                <w:sz w:val="22"/>
              </w:rPr>
              <w:t>名义印发的规范性文件、其他政策文件的解读材料等信息</w:t>
            </w:r>
          </w:p>
        </w:tc>
        <w:tc>
          <w:tcPr>
            <w:tcW w:w="4900" w:type="dxa"/>
            <w:vAlign w:val="center"/>
          </w:tcPr>
          <w:p w14:paraId="3507126F">
            <w:pPr>
              <w:widowControl/>
              <w:spacing w:line="280" w:lineRule="exact"/>
              <w:rPr>
                <w:rFonts w:hint="eastAsia" w:asciiTheme="majorEastAsia" w:hAnsiTheme="majorEastAsia" w:eastAsiaTheme="majorEastAsia" w:cstheme="majorEastAsia"/>
                <w:sz w:val="22"/>
              </w:rPr>
            </w:pPr>
            <w:r>
              <w:rPr>
                <w:rFonts w:hint="eastAsia" w:asciiTheme="majorEastAsia" w:hAnsiTheme="majorEastAsia" w:eastAsiaTheme="majorEastAsia" w:cstheme="majorEastAsia"/>
                <w:sz w:val="22"/>
              </w:rPr>
              <w:t>1.《中共中央办公厅国务院办公厅关于全面推进政务公开工作的意见》三（十一）“加强政策解读”</w:t>
            </w:r>
          </w:p>
          <w:p w14:paraId="7D62B29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sz w:val="22"/>
              </w:rPr>
              <w:t>2.《河北省人民政府办公厅关于印发河北省全面推进政务公开工作实施细则的通知》二“强化政策解读，促进政策落地”</w:t>
            </w:r>
          </w:p>
        </w:tc>
        <w:tc>
          <w:tcPr>
            <w:tcW w:w="2563" w:type="dxa"/>
            <w:vAlign w:val="center"/>
          </w:tcPr>
          <w:p w14:paraId="3F2AEA1D">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53AD5D8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p w14:paraId="5D65BBFB">
            <w:pPr>
              <w:widowControl/>
              <w:spacing w:line="280" w:lineRule="exact"/>
              <w:rPr>
                <w:rFonts w:hint="eastAsia" w:asciiTheme="majorEastAsia" w:hAnsiTheme="majorEastAsia" w:eastAsiaTheme="majorEastAsia" w:cstheme="majorEastAsia"/>
                <w:kern w:val="0"/>
                <w:sz w:val="22"/>
              </w:rPr>
            </w:pPr>
          </w:p>
        </w:tc>
        <w:tc>
          <w:tcPr>
            <w:tcW w:w="1815" w:type="dxa"/>
            <w:vAlign w:val="center"/>
          </w:tcPr>
          <w:p w14:paraId="45D5A247">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6D7C6399">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5E2CF060">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政策法规股</w:t>
            </w:r>
          </w:p>
        </w:tc>
      </w:tr>
      <w:tr w14:paraId="5898B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90" w:hRule="atLeast"/>
        </w:trPr>
        <w:tc>
          <w:tcPr>
            <w:tcW w:w="643" w:type="dxa"/>
            <w:vAlign w:val="center"/>
          </w:tcPr>
          <w:p w14:paraId="651D52C7">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lang w:val="en-US" w:eastAsia="zh-CN"/>
              </w:rPr>
              <w:t>8</w:t>
            </w:r>
          </w:p>
        </w:tc>
        <w:tc>
          <w:tcPr>
            <w:tcW w:w="1538" w:type="dxa"/>
            <w:vAlign w:val="center"/>
          </w:tcPr>
          <w:p w14:paraId="69D59896">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会议活动</w:t>
            </w:r>
          </w:p>
        </w:tc>
        <w:tc>
          <w:tcPr>
            <w:tcW w:w="1495" w:type="dxa"/>
            <w:vAlign w:val="center"/>
          </w:tcPr>
          <w:p w14:paraId="26233959">
            <w:pPr>
              <w:widowControl/>
              <w:numPr>
                <w:ilvl w:val="0"/>
                <w:numId w:val="1"/>
              </w:num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重要会议</w:t>
            </w:r>
          </w:p>
          <w:p w14:paraId="3729E68B">
            <w:pPr>
              <w:widowControl/>
              <w:numPr>
                <w:ilvl w:val="0"/>
                <w:numId w:val="1"/>
              </w:numPr>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领导重大活动信息</w:t>
            </w:r>
          </w:p>
        </w:tc>
        <w:tc>
          <w:tcPr>
            <w:tcW w:w="2490" w:type="dxa"/>
            <w:vAlign w:val="center"/>
          </w:tcPr>
          <w:p w14:paraId="359E9B1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w:t>
            </w:r>
            <w:r>
              <w:rPr>
                <w:rFonts w:hint="eastAsia" w:asciiTheme="majorEastAsia" w:hAnsiTheme="majorEastAsia" w:eastAsiaTheme="majorEastAsia" w:cstheme="majorEastAsia"/>
                <w:kern w:val="0"/>
                <w:sz w:val="22"/>
                <w:lang w:val="en-US" w:eastAsia="zh-CN"/>
              </w:rPr>
              <w:t>重要</w:t>
            </w:r>
            <w:r>
              <w:rPr>
                <w:rFonts w:hint="eastAsia" w:asciiTheme="majorEastAsia" w:hAnsiTheme="majorEastAsia" w:eastAsiaTheme="majorEastAsia" w:cstheme="majorEastAsia"/>
                <w:kern w:val="0"/>
                <w:sz w:val="22"/>
              </w:rPr>
              <w:t>会议</w:t>
            </w:r>
          </w:p>
          <w:p w14:paraId="3379299E">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w:t>
            </w:r>
            <w:r>
              <w:rPr>
                <w:rFonts w:hint="eastAsia" w:asciiTheme="majorEastAsia" w:hAnsiTheme="majorEastAsia" w:eastAsiaTheme="majorEastAsia" w:cstheme="majorEastAsia"/>
                <w:kern w:val="0"/>
                <w:sz w:val="22"/>
                <w:lang w:eastAsia="zh-CN"/>
              </w:rPr>
              <w:t>.</w:t>
            </w:r>
            <w:r>
              <w:rPr>
                <w:rFonts w:hint="eastAsia" w:asciiTheme="majorEastAsia" w:hAnsiTheme="majorEastAsia" w:eastAsiaTheme="majorEastAsia" w:cstheme="majorEastAsia"/>
                <w:kern w:val="0"/>
                <w:sz w:val="22"/>
              </w:rPr>
              <w:t>重大活动</w:t>
            </w:r>
          </w:p>
        </w:tc>
        <w:tc>
          <w:tcPr>
            <w:tcW w:w="4900" w:type="dxa"/>
            <w:vAlign w:val="center"/>
          </w:tcPr>
          <w:p w14:paraId="4EAC09A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1.《中华人民共和国政府信息公开条例》第十九条“对涉及公众利益调整、需要公众广泛知晓或者需要公众参与决策的政府信息，行政机关应当主动公开”</w:t>
            </w:r>
          </w:p>
          <w:p w14:paraId="547F71AE">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2.《河北省实施&lt;中华人民共和国政府信息公开条例&gt;办法》第六条“对《条例》第十九条、第二十条、第二十一条规定的主动公开的政府信息，行政机关应当逐项研究，界定范围，明确公开的具体内容”</w:t>
            </w:r>
          </w:p>
        </w:tc>
        <w:tc>
          <w:tcPr>
            <w:tcW w:w="2563" w:type="dxa"/>
            <w:vAlign w:val="center"/>
          </w:tcPr>
          <w:p w14:paraId="517EB196">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及时公开</w:t>
            </w:r>
          </w:p>
        </w:tc>
        <w:tc>
          <w:tcPr>
            <w:tcW w:w="2445" w:type="dxa"/>
            <w:vAlign w:val="center"/>
          </w:tcPr>
          <w:p w14:paraId="6097DFE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 xml:space="preserve">■ 政府网站        </w:t>
            </w:r>
            <w:r>
              <w:rPr>
                <w:rFonts w:hint="eastAsia" w:asciiTheme="majorEastAsia" w:hAnsiTheme="majorEastAsia" w:eastAsiaTheme="majorEastAsia" w:cstheme="majorEastAsia"/>
                <w:kern w:val="0"/>
                <w:sz w:val="22"/>
              </w:rPr>
              <w:br w:type="textWrapping"/>
            </w:r>
            <w:r>
              <w:rPr>
                <w:rFonts w:hint="eastAsia" w:asciiTheme="majorEastAsia" w:hAnsiTheme="majorEastAsia" w:eastAsiaTheme="majorEastAsia" w:cstheme="majorEastAsia"/>
                <w:kern w:val="0"/>
                <w:sz w:val="22"/>
              </w:rPr>
              <w:t xml:space="preserve"> </w:t>
            </w:r>
          </w:p>
        </w:tc>
        <w:tc>
          <w:tcPr>
            <w:tcW w:w="1815" w:type="dxa"/>
            <w:vAlign w:val="center"/>
          </w:tcPr>
          <w:p w14:paraId="3685B29A">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29C2FB90">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255757E3">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4E225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806" w:hRule="atLeast"/>
        </w:trPr>
        <w:tc>
          <w:tcPr>
            <w:tcW w:w="643" w:type="dxa"/>
            <w:vAlign w:val="center"/>
          </w:tcPr>
          <w:p w14:paraId="1B0E057B">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lang w:val="en-US" w:eastAsia="zh-CN"/>
              </w:rPr>
              <w:t>9</w:t>
            </w:r>
          </w:p>
        </w:tc>
        <w:tc>
          <w:tcPr>
            <w:tcW w:w="3033" w:type="dxa"/>
            <w:gridSpan w:val="2"/>
            <w:vAlign w:val="center"/>
          </w:tcPr>
          <w:p w14:paraId="53A0E4C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法治政府建设</w:t>
            </w:r>
          </w:p>
        </w:tc>
        <w:tc>
          <w:tcPr>
            <w:tcW w:w="2490" w:type="dxa"/>
            <w:vAlign w:val="center"/>
          </w:tcPr>
          <w:p w14:paraId="3138A761">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法治政府建设年度报告</w:t>
            </w:r>
          </w:p>
        </w:tc>
        <w:tc>
          <w:tcPr>
            <w:tcW w:w="4900" w:type="dxa"/>
            <w:vAlign w:val="center"/>
          </w:tcPr>
          <w:p w14:paraId="136BE1F7">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法治政府建设与责任落实督察工作规定》第二十四条“每年4月1日之前，地方各级政府和县级以上政府部门的法治政府建设年度报告，除涉及党和国家秘密的，应当通过报刊、网站等新闻媒体向社会公开，接受人民群众监督”</w:t>
            </w:r>
          </w:p>
        </w:tc>
        <w:tc>
          <w:tcPr>
            <w:tcW w:w="2563" w:type="dxa"/>
            <w:vAlign w:val="center"/>
          </w:tcPr>
          <w:p w14:paraId="3CE56A3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1B356B89">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7B7E4D59">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4E459639">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1BABB119">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办公室</w:t>
            </w:r>
          </w:p>
        </w:tc>
      </w:tr>
      <w:tr w14:paraId="7DE38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90" w:hRule="atLeast"/>
        </w:trPr>
        <w:tc>
          <w:tcPr>
            <w:tcW w:w="643" w:type="dxa"/>
            <w:vAlign w:val="center"/>
          </w:tcPr>
          <w:p w14:paraId="1A896E1A">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rPr>
              <w:t>1</w:t>
            </w:r>
            <w:r>
              <w:rPr>
                <w:rFonts w:hint="eastAsia" w:asciiTheme="majorEastAsia" w:hAnsiTheme="majorEastAsia" w:eastAsiaTheme="majorEastAsia" w:cstheme="majorEastAsia"/>
                <w:kern w:val="0"/>
                <w:sz w:val="22"/>
                <w:lang w:val="en-US" w:eastAsia="zh-CN"/>
              </w:rPr>
              <w:t>0</w:t>
            </w:r>
          </w:p>
        </w:tc>
        <w:tc>
          <w:tcPr>
            <w:tcW w:w="3033" w:type="dxa"/>
            <w:gridSpan w:val="2"/>
            <w:vAlign w:val="center"/>
          </w:tcPr>
          <w:p w14:paraId="3538217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规划信息</w:t>
            </w:r>
          </w:p>
        </w:tc>
        <w:tc>
          <w:tcPr>
            <w:tcW w:w="2490" w:type="dxa"/>
            <w:vAlign w:val="center"/>
          </w:tcPr>
          <w:p w14:paraId="16160BBC">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专项规划</w:t>
            </w:r>
          </w:p>
        </w:tc>
        <w:tc>
          <w:tcPr>
            <w:tcW w:w="4900" w:type="dxa"/>
            <w:vAlign w:val="center"/>
          </w:tcPr>
          <w:p w14:paraId="7769F66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《中华人民共和国政府信息公开条例》第二十条“行政机关应当依照本条例第十九条的规定，主动公开行政机关的下列政府信息：（三）国民经济和社会发展规划、专项规划、区域规划及相关政策”</w:t>
            </w:r>
          </w:p>
        </w:tc>
        <w:tc>
          <w:tcPr>
            <w:tcW w:w="2563" w:type="dxa"/>
            <w:vAlign w:val="center"/>
          </w:tcPr>
          <w:p w14:paraId="767D0242">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6D068A92">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4C6F0D01">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619F52E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tc>
      </w:tr>
      <w:tr w14:paraId="55F0F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1327" w:hRule="atLeast"/>
        </w:trPr>
        <w:tc>
          <w:tcPr>
            <w:tcW w:w="643" w:type="dxa"/>
            <w:vAlign w:val="center"/>
          </w:tcPr>
          <w:p w14:paraId="0BF7EC01">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rPr>
              <w:t>1</w:t>
            </w:r>
            <w:r>
              <w:rPr>
                <w:rFonts w:hint="eastAsia" w:asciiTheme="majorEastAsia" w:hAnsiTheme="majorEastAsia" w:eastAsiaTheme="majorEastAsia" w:cstheme="majorEastAsia"/>
                <w:kern w:val="0"/>
                <w:sz w:val="22"/>
                <w:lang w:val="en-US" w:eastAsia="zh-CN"/>
              </w:rPr>
              <w:t>1</w:t>
            </w:r>
          </w:p>
        </w:tc>
        <w:tc>
          <w:tcPr>
            <w:tcW w:w="3033" w:type="dxa"/>
            <w:gridSpan w:val="2"/>
            <w:vAlign w:val="center"/>
          </w:tcPr>
          <w:p w14:paraId="1A5E36F7">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公告公示</w:t>
            </w:r>
          </w:p>
        </w:tc>
        <w:tc>
          <w:tcPr>
            <w:tcW w:w="2490" w:type="dxa"/>
            <w:vAlign w:val="center"/>
          </w:tcPr>
          <w:p w14:paraId="4969EF2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涉及公众利益调整、需要公众广泛知晓或者需要公众参与决策的政府信息</w:t>
            </w:r>
          </w:p>
        </w:tc>
        <w:tc>
          <w:tcPr>
            <w:tcW w:w="4900" w:type="dxa"/>
            <w:vAlign w:val="center"/>
          </w:tcPr>
          <w:p w14:paraId="6B23CBFC">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1.《中华人民共和国政府信息公开条例》第十九条“对涉及公众利益调整、需要公众广泛知晓或者需要公众参与决策的政府信息，行政机关应当主动公开”</w:t>
            </w:r>
          </w:p>
          <w:p w14:paraId="02B800E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2.《河北省实施&lt;中华人民共和国政府信息公开条例&gt;办法》第六条“对《条例》第十九条、第二十条、第二十一条规定的主动公开的政府信息，行政机关应当逐项研究，界定范围，明确公开的具体内容”</w:t>
            </w:r>
          </w:p>
        </w:tc>
        <w:tc>
          <w:tcPr>
            <w:tcW w:w="2563" w:type="dxa"/>
            <w:vAlign w:val="center"/>
          </w:tcPr>
          <w:p w14:paraId="071BE2B3">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0AF86B20">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22F9731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40AE7FCF">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104BD72B">
            <w:pPr>
              <w:widowControl/>
              <w:spacing w:line="280" w:lineRule="exact"/>
              <w:jc w:val="center"/>
              <w:rPr>
                <w:rFonts w:hint="default"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政策法规股</w:t>
            </w:r>
          </w:p>
        </w:tc>
      </w:tr>
      <w:tr w14:paraId="69F7A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2447" w:hRule="atLeast"/>
        </w:trPr>
        <w:tc>
          <w:tcPr>
            <w:tcW w:w="643" w:type="dxa"/>
            <w:vAlign w:val="center"/>
          </w:tcPr>
          <w:p w14:paraId="0361D7B9">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rPr>
              <w:t>1</w:t>
            </w:r>
            <w:r>
              <w:rPr>
                <w:rFonts w:hint="eastAsia" w:asciiTheme="majorEastAsia" w:hAnsiTheme="majorEastAsia" w:eastAsiaTheme="majorEastAsia" w:cstheme="majorEastAsia"/>
                <w:kern w:val="0"/>
                <w:sz w:val="22"/>
                <w:lang w:val="en-US" w:eastAsia="zh-CN"/>
              </w:rPr>
              <w:t>2</w:t>
            </w:r>
          </w:p>
        </w:tc>
        <w:tc>
          <w:tcPr>
            <w:tcW w:w="1538" w:type="dxa"/>
            <w:vMerge w:val="restart"/>
            <w:vAlign w:val="center"/>
          </w:tcPr>
          <w:p w14:paraId="16736292">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政民互动</w:t>
            </w:r>
          </w:p>
        </w:tc>
        <w:tc>
          <w:tcPr>
            <w:tcW w:w="1495" w:type="dxa"/>
            <w:vAlign w:val="center"/>
          </w:tcPr>
          <w:p w14:paraId="6E07C96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舆情回应</w:t>
            </w:r>
          </w:p>
        </w:tc>
        <w:tc>
          <w:tcPr>
            <w:tcW w:w="2490" w:type="dxa"/>
            <w:vAlign w:val="center"/>
          </w:tcPr>
          <w:p w14:paraId="1FF5B652">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涉及</w:t>
            </w:r>
            <w:r>
              <w:rPr>
                <w:rFonts w:hint="eastAsia" w:asciiTheme="majorEastAsia" w:hAnsiTheme="majorEastAsia" w:eastAsiaTheme="majorEastAsia" w:cstheme="majorEastAsia"/>
                <w:kern w:val="0"/>
                <w:sz w:val="22"/>
                <w:lang w:val="en-US" w:eastAsia="zh-CN"/>
              </w:rPr>
              <w:t>行政审批局</w:t>
            </w:r>
            <w:r>
              <w:rPr>
                <w:rFonts w:hint="eastAsia" w:asciiTheme="majorEastAsia" w:hAnsiTheme="majorEastAsia" w:eastAsiaTheme="majorEastAsia" w:cstheme="majorEastAsia"/>
                <w:kern w:val="0"/>
                <w:sz w:val="22"/>
              </w:rPr>
              <w:t>的重大政务舆情回应信息</w:t>
            </w:r>
          </w:p>
        </w:tc>
        <w:tc>
          <w:tcPr>
            <w:tcW w:w="4900" w:type="dxa"/>
            <w:vAlign w:val="center"/>
          </w:tcPr>
          <w:p w14:paraId="1F4AEADE">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中共中央办公厅国务院办公厅关于全面推进政务公开工作的意见》三(十三)“回应社会关切。……对涉及本地区本部门的重要政务舆情、媒体关切、突发事件等热点问题，要按程序及时发布权威信息，讲清事实真相、政策措施以及处置结果等，认真回应关切”</w:t>
            </w:r>
          </w:p>
        </w:tc>
        <w:tc>
          <w:tcPr>
            <w:tcW w:w="2563" w:type="dxa"/>
            <w:vAlign w:val="center"/>
          </w:tcPr>
          <w:p w14:paraId="0B714CF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及时公开</w:t>
            </w:r>
          </w:p>
        </w:tc>
        <w:tc>
          <w:tcPr>
            <w:tcW w:w="2445" w:type="dxa"/>
            <w:vAlign w:val="center"/>
          </w:tcPr>
          <w:p w14:paraId="658D409C">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r>
              <w:rPr>
                <w:rFonts w:hint="eastAsia" w:asciiTheme="majorEastAsia" w:hAnsiTheme="majorEastAsia" w:eastAsiaTheme="majorEastAsia" w:cstheme="majorEastAsia"/>
                <w:kern w:val="0"/>
                <w:sz w:val="22"/>
              </w:rPr>
              <w:br w:type="textWrapping"/>
            </w:r>
          </w:p>
        </w:tc>
        <w:tc>
          <w:tcPr>
            <w:tcW w:w="1815" w:type="dxa"/>
            <w:vAlign w:val="center"/>
          </w:tcPr>
          <w:p w14:paraId="2189ED96">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212CC7AE">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062E66AD">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lang w:val="en-US" w:eastAsia="zh-CN"/>
              </w:rPr>
              <w:t>政策法规股</w:t>
            </w:r>
          </w:p>
        </w:tc>
      </w:tr>
      <w:tr w14:paraId="16888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2855" w:hRule="atLeast"/>
        </w:trPr>
        <w:tc>
          <w:tcPr>
            <w:tcW w:w="643" w:type="dxa"/>
            <w:vAlign w:val="center"/>
          </w:tcPr>
          <w:p w14:paraId="6B371AEE">
            <w:pPr>
              <w:widowControl/>
              <w:spacing w:line="280" w:lineRule="exact"/>
              <w:jc w:val="center"/>
              <w:rPr>
                <w:rFonts w:hint="default"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13</w:t>
            </w:r>
          </w:p>
        </w:tc>
        <w:tc>
          <w:tcPr>
            <w:tcW w:w="1538" w:type="dxa"/>
            <w:vMerge w:val="continue"/>
            <w:vAlign w:val="center"/>
          </w:tcPr>
          <w:p w14:paraId="6FCB899F">
            <w:pPr>
              <w:widowControl/>
              <w:spacing w:line="280" w:lineRule="exact"/>
              <w:rPr>
                <w:rFonts w:hint="eastAsia" w:asciiTheme="majorEastAsia" w:hAnsiTheme="majorEastAsia" w:eastAsiaTheme="majorEastAsia" w:cstheme="majorEastAsia"/>
                <w:kern w:val="0"/>
                <w:sz w:val="22"/>
              </w:rPr>
            </w:pPr>
          </w:p>
        </w:tc>
        <w:tc>
          <w:tcPr>
            <w:tcW w:w="1495" w:type="dxa"/>
            <w:vAlign w:val="center"/>
          </w:tcPr>
          <w:p w14:paraId="5C61C12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公众参与</w:t>
            </w:r>
          </w:p>
        </w:tc>
        <w:tc>
          <w:tcPr>
            <w:tcW w:w="2490" w:type="dxa"/>
            <w:vAlign w:val="center"/>
          </w:tcPr>
          <w:p w14:paraId="531ABEE0">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1.网上调查</w:t>
            </w:r>
          </w:p>
          <w:p w14:paraId="1E4CF49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2.意见征集</w:t>
            </w:r>
          </w:p>
        </w:tc>
        <w:tc>
          <w:tcPr>
            <w:tcW w:w="4900" w:type="dxa"/>
            <w:vAlign w:val="center"/>
          </w:tcPr>
          <w:p w14:paraId="26A39CC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1.《中华人民共和国政府信息公开条例》第十九条“对涉及公众利益调整、需要公众广泛知晓或者需要公众参与决策的政府信息，行政机关应当主动公开”</w:t>
            </w:r>
          </w:p>
          <w:p w14:paraId="094A5CFB">
            <w:pPr>
              <w:widowControl/>
              <w:spacing w:line="280" w:lineRule="exact"/>
              <w:rPr>
                <w:rFonts w:hint="eastAsia" w:asciiTheme="majorEastAsia" w:hAnsiTheme="majorEastAsia" w:eastAsiaTheme="majorEastAsia" w:cstheme="majorEastAsia"/>
                <w:color w:val="FF0000"/>
                <w:kern w:val="0"/>
                <w:sz w:val="22"/>
              </w:rPr>
            </w:pPr>
            <w:r>
              <w:rPr>
                <w:rFonts w:hint="eastAsia" w:asciiTheme="majorEastAsia" w:hAnsiTheme="majorEastAsia" w:eastAsiaTheme="majorEastAsia" w:cstheme="majorEastAsia"/>
                <w:kern w:val="0"/>
                <w:sz w:val="22"/>
              </w:rPr>
              <w:t>2.《国务院办公厅印发&lt;关于全面推进政务公开工作的意见&gt;实施细则的通知》“五、扩大公众参与（三）完善公</w:t>
            </w:r>
            <w:r>
              <w:rPr>
                <w:rFonts w:asciiTheme="majorEastAsia" w:hAnsiTheme="majorEastAsia" w:eastAsiaTheme="majorEastAsia" w:cstheme="majorEastAsia"/>
                <w:kern w:val="0"/>
                <w:sz w:val="22"/>
              </w:rPr>
              <w:t>众参与渠道。积极探索公众参与新模式，不断拓展政府网站的民意征集、网民留言办理等互动功能</w:t>
            </w:r>
            <w:r>
              <w:rPr>
                <w:rFonts w:hint="eastAsia" w:asciiTheme="majorEastAsia" w:hAnsiTheme="majorEastAsia" w:eastAsiaTheme="majorEastAsia" w:cstheme="majorEastAsia"/>
                <w:kern w:val="0"/>
                <w:sz w:val="22"/>
              </w:rPr>
              <w:t>”</w:t>
            </w:r>
          </w:p>
        </w:tc>
        <w:tc>
          <w:tcPr>
            <w:tcW w:w="2563" w:type="dxa"/>
            <w:vAlign w:val="center"/>
          </w:tcPr>
          <w:p w14:paraId="754C961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21F45C9A">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r>
              <w:rPr>
                <w:rFonts w:hint="eastAsia" w:asciiTheme="majorEastAsia" w:hAnsiTheme="majorEastAsia" w:eastAsiaTheme="majorEastAsia" w:cstheme="majorEastAsia"/>
                <w:kern w:val="0"/>
                <w:sz w:val="22"/>
              </w:rPr>
              <w:br w:type="textWrapping"/>
            </w:r>
          </w:p>
        </w:tc>
        <w:tc>
          <w:tcPr>
            <w:tcW w:w="1815" w:type="dxa"/>
            <w:vAlign w:val="center"/>
          </w:tcPr>
          <w:p w14:paraId="035F9D32">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51064026">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tc>
      </w:tr>
      <w:tr w14:paraId="2623B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3372" w:hRule="atLeast"/>
        </w:trPr>
        <w:tc>
          <w:tcPr>
            <w:tcW w:w="643" w:type="dxa"/>
            <w:vAlign w:val="center"/>
          </w:tcPr>
          <w:p w14:paraId="1E8271A9">
            <w:pPr>
              <w:widowControl/>
              <w:spacing w:line="280" w:lineRule="exact"/>
              <w:jc w:val="center"/>
              <w:rPr>
                <w:rFonts w:hint="eastAsia" w:asciiTheme="majorEastAsia" w:hAnsiTheme="majorEastAsia" w:eastAsiaTheme="majorEastAsia" w:cstheme="majorEastAsia"/>
                <w:kern w:val="0"/>
                <w:sz w:val="22"/>
                <w:lang w:eastAsia="zh-CN"/>
              </w:rPr>
            </w:pPr>
            <w:r>
              <w:rPr>
                <w:rFonts w:hint="eastAsia" w:asciiTheme="majorEastAsia" w:hAnsiTheme="majorEastAsia" w:eastAsiaTheme="majorEastAsia" w:cstheme="majorEastAsia"/>
                <w:kern w:val="0"/>
                <w:sz w:val="22"/>
              </w:rPr>
              <w:t>1</w:t>
            </w:r>
            <w:r>
              <w:rPr>
                <w:rFonts w:hint="eastAsia" w:asciiTheme="majorEastAsia" w:hAnsiTheme="majorEastAsia" w:eastAsiaTheme="majorEastAsia" w:cstheme="majorEastAsia"/>
                <w:kern w:val="0"/>
                <w:sz w:val="22"/>
                <w:lang w:val="en-US" w:eastAsia="zh-CN"/>
              </w:rPr>
              <w:t>4</w:t>
            </w:r>
          </w:p>
        </w:tc>
        <w:tc>
          <w:tcPr>
            <w:tcW w:w="3033" w:type="dxa"/>
            <w:gridSpan w:val="2"/>
            <w:tcBorders>
              <w:top w:val="single" w:color="auto" w:sz="4" w:space="0"/>
              <w:bottom w:val="single" w:color="auto" w:sz="4" w:space="0"/>
            </w:tcBorders>
            <w:vAlign w:val="center"/>
          </w:tcPr>
          <w:p w14:paraId="2A7508E8">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财政（务）预决算</w:t>
            </w:r>
          </w:p>
        </w:tc>
        <w:tc>
          <w:tcPr>
            <w:tcW w:w="2490" w:type="dxa"/>
            <w:vAlign w:val="center"/>
          </w:tcPr>
          <w:p w14:paraId="0CFCB093">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1.财政预决算报告</w:t>
            </w:r>
          </w:p>
          <w:p w14:paraId="35790EB2">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2.“三公”经费信息</w:t>
            </w:r>
          </w:p>
          <w:p w14:paraId="2601C966">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3.政府采购信息</w:t>
            </w:r>
          </w:p>
        </w:tc>
        <w:tc>
          <w:tcPr>
            <w:tcW w:w="4900" w:type="dxa"/>
            <w:vAlign w:val="center"/>
          </w:tcPr>
          <w:p w14:paraId="345867E3">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中华人民共和国政府信息公开条例》第二十条“行政机关应当依照本条例第十九条的规定，主动公开本行政机关的下列政府信息：（七）财政预算、决算信息”（九）政府集中采购项目的目录、标准及实施情况”</w:t>
            </w:r>
          </w:p>
          <w:p w14:paraId="1C282AFD">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中华人民共和国预算法》第十四条“经本级政府财政部门批复的部门预算、决算及报表，应当在批复后二十日内由各部门向社会公开，并对部门预算、决算中机关运行经费的安排、使用情况等重要事项作出说明。各级政府、各部门、各单位应当将政府采购的情况及时向社会公开”</w:t>
            </w:r>
          </w:p>
          <w:p w14:paraId="756BEE4D">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3.《招标公告和公示信息发布管理办法》“第八条依法必须招标项目的招标公告和公示信息应当在“中国招标投标公共服务平台或者项目所在地省级电子招标投标公共服务平台发布”</w:t>
            </w:r>
          </w:p>
        </w:tc>
        <w:tc>
          <w:tcPr>
            <w:tcW w:w="2563" w:type="dxa"/>
            <w:vAlign w:val="center"/>
          </w:tcPr>
          <w:p w14:paraId="05E6D0AF">
            <w:pPr>
              <w:widowControl/>
              <w:adjustRightInd w:val="0"/>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10C5679D">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p w14:paraId="7E3266AF">
            <w:pPr>
              <w:widowControl/>
              <w:spacing w:line="280" w:lineRule="exact"/>
              <w:rPr>
                <w:rFonts w:hint="eastAsia" w:asciiTheme="majorEastAsia" w:hAnsiTheme="majorEastAsia" w:eastAsiaTheme="majorEastAsia" w:cstheme="majorEastAsia"/>
                <w:kern w:val="0"/>
                <w:sz w:val="22"/>
              </w:rPr>
            </w:pPr>
          </w:p>
        </w:tc>
        <w:tc>
          <w:tcPr>
            <w:tcW w:w="1815" w:type="dxa"/>
            <w:vAlign w:val="center"/>
          </w:tcPr>
          <w:p w14:paraId="3438D7B8">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1C5724EE">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611BFDEB">
            <w:pPr>
              <w:widowControl/>
              <w:spacing w:line="280" w:lineRule="exact"/>
              <w:jc w:val="center"/>
              <w:rPr>
                <w:rFonts w:hint="eastAsia"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财务</w:t>
            </w:r>
          </w:p>
        </w:tc>
      </w:tr>
      <w:tr w14:paraId="32C95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113" w:type="dxa"/>
            <w:right w:w="108" w:type="dxa"/>
          </w:tblCellMar>
        </w:tblPrEx>
        <w:trPr>
          <w:trHeight w:val="3372" w:hRule="atLeast"/>
        </w:trPr>
        <w:tc>
          <w:tcPr>
            <w:tcW w:w="643" w:type="dxa"/>
            <w:vAlign w:val="center"/>
          </w:tcPr>
          <w:p w14:paraId="5EC2D6DC">
            <w:pPr>
              <w:widowControl/>
              <w:spacing w:line="280" w:lineRule="exact"/>
              <w:jc w:val="center"/>
              <w:rPr>
                <w:rFonts w:hint="default"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15</w:t>
            </w:r>
          </w:p>
        </w:tc>
        <w:tc>
          <w:tcPr>
            <w:tcW w:w="3033" w:type="dxa"/>
            <w:gridSpan w:val="2"/>
            <w:tcBorders>
              <w:top w:val="single" w:color="auto" w:sz="4" w:space="0"/>
              <w:bottom w:val="single" w:color="auto" w:sz="4" w:space="0"/>
            </w:tcBorders>
            <w:vAlign w:val="center"/>
          </w:tcPr>
          <w:p w14:paraId="12CDD2FE">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权责清单</w:t>
            </w:r>
          </w:p>
        </w:tc>
        <w:tc>
          <w:tcPr>
            <w:tcW w:w="2490" w:type="dxa"/>
            <w:vAlign w:val="center"/>
          </w:tcPr>
          <w:p w14:paraId="09BE3F0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1.经相关部门核定的权力和责任清单</w:t>
            </w:r>
          </w:p>
          <w:p w14:paraId="5D703FD4">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2.权力运行流程图</w:t>
            </w:r>
          </w:p>
        </w:tc>
        <w:tc>
          <w:tcPr>
            <w:tcW w:w="4900" w:type="dxa"/>
            <w:vAlign w:val="center"/>
          </w:tcPr>
          <w:p w14:paraId="163878D5">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《中共中央办公厅国务院办公厅关于全面推进政务公开工作的意见》“权力清单、责任清单”</w:t>
            </w:r>
          </w:p>
        </w:tc>
        <w:tc>
          <w:tcPr>
            <w:tcW w:w="2563" w:type="dxa"/>
            <w:vAlign w:val="center"/>
          </w:tcPr>
          <w:p w14:paraId="03D3647F">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信息产生或变更之日起20个工作日内公开，保持长期公开（相关法律法规另有规定的，从其规定）</w:t>
            </w:r>
          </w:p>
        </w:tc>
        <w:tc>
          <w:tcPr>
            <w:tcW w:w="2445" w:type="dxa"/>
            <w:vAlign w:val="center"/>
          </w:tcPr>
          <w:p w14:paraId="280AB4EB">
            <w:pPr>
              <w:widowControl/>
              <w:spacing w:line="280" w:lineRule="exact"/>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■政府网站</w:t>
            </w:r>
          </w:p>
        </w:tc>
        <w:tc>
          <w:tcPr>
            <w:tcW w:w="1815" w:type="dxa"/>
            <w:vAlign w:val="center"/>
          </w:tcPr>
          <w:p w14:paraId="137D374A">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全社会</w:t>
            </w:r>
          </w:p>
        </w:tc>
        <w:tc>
          <w:tcPr>
            <w:tcW w:w="2386" w:type="dxa"/>
            <w:vAlign w:val="center"/>
          </w:tcPr>
          <w:p w14:paraId="7C8013B7">
            <w:pPr>
              <w:widowControl/>
              <w:spacing w:line="280" w:lineRule="exact"/>
              <w:jc w:val="center"/>
              <w:rPr>
                <w:rFonts w:hint="eastAsia" w:asciiTheme="majorEastAsia" w:hAnsiTheme="majorEastAsia" w:eastAsiaTheme="majorEastAsia" w:cstheme="majorEastAsia"/>
                <w:kern w:val="0"/>
                <w:sz w:val="22"/>
              </w:rPr>
            </w:pPr>
            <w:r>
              <w:rPr>
                <w:rFonts w:hint="eastAsia" w:asciiTheme="majorEastAsia" w:hAnsiTheme="majorEastAsia" w:eastAsiaTheme="majorEastAsia" w:cstheme="majorEastAsia"/>
                <w:kern w:val="0"/>
                <w:sz w:val="22"/>
              </w:rPr>
              <w:t>行政审批局</w:t>
            </w:r>
          </w:p>
          <w:p w14:paraId="1547D4C0">
            <w:pPr>
              <w:widowControl/>
              <w:spacing w:line="280" w:lineRule="exact"/>
              <w:jc w:val="center"/>
              <w:rPr>
                <w:rFonts w:hint="default" w:asciiTheme="majorEastAsia" w:hAnsiTheme="majorEastAsia" w:eastAsiaTheme="majorEastAsia" w:cstheme="majorEastAsia"/>
                <w:kern w:val="0"/>
                <w:sz w:val="22"/>
                <w:lang w:val="en-US" w:eastAsia="zh-CN"/>
              </w:rPr>
            </w:pPr>
            <w:r>
              <w:rPr>
                <w:rFonts w:hint="eastAsia" w:asciiTheme="majorEastAsia" w:hAnsiTheme="majorEastAsia" w:eastAsiaTheme="majorEastAsia" w:cstheme="majorEastAsia"/>
                <w:kern w:val="0"/>
                <w:sz w:val="22"/>
                <w:lang w:val="en-US" w:eastAsia="zh-CN"/>
              </w:rPr>
              <w:t>政务服务股</w:t>
            </w:r>
          </w:p>
          <w:p w14:paraId="1847C275">
            <w:pPr>
              <w:widowControl/>
              <w:spacing w:line="280" w:lineRule="exact"/>
              <w:jc w:val="center"/>
              <w:rPr>
                <w:rFonts w:hint="eastAsia" w:asciiTheme="majorEastAsia" w:hAnsiTheme="majorEastAsia" w:eastAsiaTheme="majorEastAsia" w:cstheme="majorEastAsia"/>
                <w:kern w:val="0"/>
                <w:sz w:val="22"/>
              </w:rPr>
            </w:pPr>
          </w:p>
        </w:tc>
      </w:tr>
    </w:tbl>
    <w:p w14:paraId="0C3DDE17">
      <w:pPr>
        <w:widowControl/>
        <w:spacing w:before="62" w:beforeLines="20"/>
        <w:jc w:val="left"/>
        <w:rPr>
          <w:rFonts w:hint="eastAsia" w:ascii="宋体" w:hAnsi="宋体" w:cs="宋体"/>
          <w:kern w:val="0"/>
          <w:sz w:val="22"/>
        </w:rPr>
      </w:pPr>
      <w:r>
        <w:rPr>
          <w:rFonts w:hint="eastAsia" w:asciiTheme="majorEastAsia" w:hAnsiTheme="majorEastAsia" w:eastAsiaTheme="majorEastAsia" w:cstheme="majorEastAsia"/>
          <w:kern w:val="0"/>
          <w:sz w:val="22"/>
        </w:rPr>
        <w:t>注：法律、法规、规章和国家有关规定应当主动公开的其他政府信息应及时列入主动公开事项目录。</w:t>
      </w:r>
    </w:p>
    <w:sectPr>
      <w:footerReference r:id="rId3" w:type="default"/>
      <w:pgSz w:w="23811" w:h="16838" w:orient="landscape"/>
      <w:pgMar w:top="1417" w:right="1701" w:bottom="1417" w:left="1701" w:header="851" w:footer="1247"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微软雅黑"/>
    <w:panose1 w:val="00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82A94">
    <w:pPr>
      <w:pStyle w:val="2"/>
      <w:jc w:val="center"/>
      <w:rPr>
        <w:rFonts w:hint="eastAsia" w:ascii="宋体" w:hAnsi="宋体"/>
        <w:sz w:val="28"/>
        <w:szCs w:val="28"/>
      </w:rPr>
    </w:pPr>
    <w:r>
      <w:rPr>
        <w:rFonts w:hint="eastAsia"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102</w:t>
    </w:r>
    <w:r>
      <w:rPr>
        <w:rFonts w:ascii="宋体" w:hAnsi="宋体"/>
        <w:sz w:val="28"/>
        <w:szCs w:val="28"/>
      </w:rPr>
      <w:fldChar w:fldCharType="end"/>
    </w:r>
    <w:r>
      <w:rPr>
        <w:rFonts w:hint="eastAsia" w:ascii="宋体" w:hAnsi="宋体"/>
        <w:sz w:val="28"/>
        <w:szCs w:val="28"/>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BAE72E"/>
    <w:multiLevelType w:val="singleLevel"/>
    <w:tmpl w:val="29BAE72E"/>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932"/>
    <w:rsid w:val="00012161"/>
    <w:rsid w:val="00033989"/>
    <w:rsid w:val="00067C5C"/>
    <w:rsid w:val="00075F60"/>
    <w:rsid w:val="00085664"/>
    <w:rsid w:val="000D37B8"/>
    <w:rsid w:val="000D70A3"/>
    <w:rsid w:val="000E66D4"/>
    <w:rsid w:val="00130CCF"/>
    <w:rsid w:val="00141555"/>
    <w:rsid w:val="00187F84"/>
    <w:rsid w:val="00191FCF"/>
    <w:rsid w:val="0019368D"/>
    <w:rsid w:val="001C3754"/>
    <w:rsid w:val="002966BF"/>
    <w:rsid w:val="002C5802"/>
    <w:rsid w:val="003309BE"/>
    <w:rsid w:val="0033191B"/>
    <w:rsid w:val="00342992"/>
    <w:rsid w:val="00386F67"/>
    <w:rsid w:val="003901FF"/>
    <w:rsid w:val="003910B4"/>
    <w:rsid w:val="003A007D"/>
    <w:rsid w:val="003E6643"/>
    <w:rsid w:val="00400932"/>
    <w:rsid w:val="00405CF0"/>
    <w:rsid w:val="00455F8B"/>
    <w:rsid w:val="004B5388"/>
    <w:rsid w:val="00512C01"/>
    <w:rsid w:val="005204F3"/>
    <w:rsid w:val="005248BA"/>
    <w:rsid w:val="00526B65"/>
    <w:rsid w:val="00551E69"/>
    <w:rsid w:val="00596087"/>
    <w:rsid w:val="005A2CFE"/>
    <w:rsid w:val="005B09B3"/>
    <w:rsid w:val="005C5613"/>
    <w:rsid w:val="005D49FC"/>
    <w:rsid w:val="005E5E00"/>
    <w:rsid w:val="00607804"/>
    <w:rsid w:val="00642EF7"/>
    <w:rsid w:val="0065237D"/>
    <w:rsid w:val="0069365E"/>
    <w:rsid w:val="006D68A9"/>
    <w:rsid w:val="00700115"/>
    <w:rsid w:val="007054F0"/>
    <w:rsid w:val="00766106"/>
    <w:rsid w:val="007D5840"/>
    <w:rsid w:val="007F035F"/>
    <w:rsid w:val="008167F3"/>
    <w:rsid w:val="00863435"/>
    <w:rsid w:val="008642AA"/>
    <w:rsid w:val="008B283F"/>
    <w:rsid w:val="008B4A0F"/>
    <w:rsid w:val="008D6BC2"/>
    <w:rsid w:val="008E1ECA"/>
    <w:rsid w:val="008E6377"/>
    <w:rsid w:val="008F0896"/>
    <w:rsid w:val="008F30B2"/>
    <w:rsid w:val="00910F97"/>
    <w:rsid w:val="00933991"/>
    <w:rsid w:val="00971423"/>
    <w:rsid w:val="009A4465"/>
    <w:rsid w:val="009C1D37"/>
    <w:rsid w:val="009E2591"/>
    <w:rsid w:val="00A24837"/>
    <w:rsid w:val="00A35644"/>
    <w:rsid w:val="00A37CF5"/>
    <w:rsid w:val="00A37F5C"/>
    <w:rsid w:val="00A43C5C"/>
    <w:rsid w:val="00A61ACC"/>
    <w:rsid w:val="00AD07D1"/>
    <w:rsid w:val="00AE5DEC"/>
    <w:rsid w:val="00AE6216"/>
    <w:rsid w:val="00AF3075"/>
    <w:rsid w:val="00B20A64"/>
    <w:rsid w:val="00B56C97"/>
    <w:rsid w:val="00B7060C"/>
    <w:rsid w:val="00BB0E58"/>
    <w:rsid w:val="00C10F9F"/>
    <w:rsid w:val="00C239EB"/>
    <w:rsid w:val="00C45384"/>
    <w:rsid w:val="00C54A60"/>
    <w:rsid w:val="00C85880"/>
    <w:rsid w:val="00C921F2"/>
    <w:rsid w:val="00CD6920"/>
    <w:rsid w:val="00D02987"/>
    <w:rsid w:val="00D06B08"/>
    <w:rsid w:val="00D204E9"/>
    <w:rsid w:val="00D47C7F"/>
    <w:rsid w:val="00D54B00"/>
    <w:rsid w:val="00D725FC"/>
    <w:rsid w:val="00DC3633"/>
    <w:rsid w:val="00DC459B"/>
    <w:rsid w:val="00DC63C5"/>
    <w:rsid w:val="00DD7110"/>
    <w:rsid w:val="00DE6E26"/>
    <w:rsid w:val="00DF7F39"/>
    <w:rsid w:val="00E23261"/>
    <w:rsid w:val="00E330FA"/>
    <w:rsid w:val="00E4748C"/>
    <w:rsid w:val="00E47F95"/>
    <w:rsid w:val="00E552E2"/>
    <w:rsid w:val="00EB5378"/>
    <w:rsid w:val="00ED08BD"/>
    <w:rsid w:val="00F52DC3"/>
    <w:rsid w:val="00F77B00"/>
    <w:rsid w:val="00F85DE8"/>
    <w:rsid w:val="00FA5478"/>
    <w:rsid w:val="00FA5CB1"/>
    <w:rsid w:val="00FE3020"/>
    <w:rsid w:val="00FE516F"/>
    <w:rsid w:val="02A52FC2"/>
    <w:rsid w:val="03DE367E"/>
    <w:rsid w:val="04B3295E"/>
    <w:rsid w:val="04D66454"/>
    <w:rsid w:val="050930F8"/>
    <w:rsid w:val="05BF1B7D"/>
    <w:rsid w:val="0633208D"/>
    <w:rsid w:val="075C73C2"/>
    <w:rsid w:val="07B509B3"/>
    <w:rsid w:val="095A2369"/>
    <w:rsid w:val="0A5E0911"/>
    <w:rsid w:val="0A7A1031"/>
    <w:rsid w:val="0B081CE8"/>
    <w:rsid w:val="0B243B52"/>
    <w:rsid w:val="0B54DDDD"/>
    <w:rsid w:val="0C8A23BF"/>
    <w:rsid w:val="0CB97065"/>
    <w:rsid w:val="0ED4462A"/>
    <w:rsid w:val="0FFB5686"/>
    <w:rsid w:val="11671785"/>
    <w:rsid w:val="11BF336F"/>
    <w:rsid w:val="120B22BE"/>
    <w:rsid w:val="125A0A2B"/>
    <w:rsid w:val="13D05D10"/>
    <w:rsid w:val="13F923C8"/>
    <w:rsid w:val="144641F2"/>
    <w:rsid w:val="163D01BC"/>
    <w:rsid w:val="1674147F"/>
    <w:rsid w:val="179B1249"/>
    <w:rsid w:val="18A713FA"/>
    <w:rsid w:val="1940324C"/>
    <w:rsid w:val="1C0859A9"/>
    <w:rsid w:val="1C7C0A08"/>
    <w:rsid w:val="1D9F2AB6"/>
    <w:rsid w:val="1DBA545F"/>
    <w:rsid w:val="1DF736FD"/>
    <w:rsid w:val="1DFD14A7"/>
    <w:rsid w:val="1EED151B"/>
    <w:rsid w:val="1FC601B5"/>
    <w:rsid w:val="1FDE39D7"/>
    <w:rsid w:val="216337D3"/>
    <w:rsid w:val="21AD729F"/>
    <w:rsid w:val="228C7DBD"/>
    <w:rsid w:val="23CA732F"/>
    <w:rsid w:val="241B5C0B"/>
    <w:rsid w:val="24423CCF"/>
    <w:rsid w:val="24F62E04"/>
    <w:rsid w:val="25127FB3"/>
    <w:rsid w:val="271B70CC"/>
    <w:rsid w:val="27FE9454"/>
    <w:rsid w:val="28057DBC"/>
    <w:rsid w:val="28851905"/>
    <w:rsid w:val="2889097D"/>
    <w:rsid w:val="2924525B"/>
    <w:rsid w:val="2AE61515"/>
    <w:rsid w:val="2BFF3370"/>
    <w:rsid w:val="2EC90B52"/>
    <w:rsid w:val="2ECC0A4B"/>
    <w:rsid w:val="2FFD0E93"/>
    <w:rsid w:val="31224929"/>
    <w:rsid w:val="31717D8A"/>
    <w:rsid w:val="317F014F"/>
    <w:rsid w:val="320B64AD"/>
    <w:rsid w:val="3246527B"/>
    <w:rsid w:val="324C52F9"/>
    <w:rsid w:val="339C35B9"/>
    <w:rsid w:val="33E05E5D"/>
    <w:rsid w:val="350E2127"/>
    <w:rsid w:val="35B6517D"/>
    <w:rsid w:val="367130E2"/>
    <w:rsid w:val="37D61A5E"/>
    <w:rsid w:val="37ECD7C3"/>
    <w:rsid w:val="38366623"/>
    <w:rsid w:val="38AE004A"/>
    <w:rsid w:val="3BAB3E99"/>
    <w:rsid w:val="3BEA4EF6"/>
    <w:rsid w:val="3CFAA3B8"/>
    <w:rsid w:val="3D0B6BD5"/>
    <w:rsid w:val="3E4F187B"/>
    <w:rsid w:val="3E6B3343"/>
    <w:rsid w:val="3EBFE8EB"/>
    <w:rsid w:val="3EFA2761"/>
    <w:rsid w:val="3F1638F9"/>
    <w:rsid w:val="3F7CF40A"/>
    <w:rsid w:val="3F7FC85C"/>
    <w:rsid w:val="3F9BF995"/>
    <w:rsid w:val="3FF90D62"/>
    <w:rsid w:val="40781A13"/>
    <w:rsid w:val="40F86CB3"/>
    <w:rsid w:val="413D7498"/>
    <w:rsid w:val="414C180C"/>
    <w:rsid w:val="42816075"/>
    <w:rsid w:val="4295352C"/>
    <w:rsid w:val="4529605E"/>
    <w:rsid w:val="46EF156C"/>
    <w:rsid w:val="47BF6BE7"/>
    <w:rsid w:val="47FF9732"/>
    <w:rsid w:val="484D12A6"/>
    <w:rsid w:val="489C747F"/>
    <w:rsid w:val="494A2C21"/>
    <w:rsid w:val="49B60A7B"/>
    <w:rsid w:val="4B46773A"/>
    <w:rsid w:val="4C1A199B"/>
    <w:rsid w:val="4C316292"/>
    <w:rsid w:val="4C3362AC"/>
    <w:rsid w:val="4C623E43"/>
    <w:rsid w:val="4DC52B04"/>
    <w:rsid w:val="4DE82A5F"/>
    <w:rsid w:val="4EEE449F"/>
    <w:rsid w:val="4F47041D"/>
    <w:rsid w:val="4FFA7727"/>
    <w:rsid w:val="50580F9F"/>
    <w:rsid w:val="51CB5B17"/>
    <w:rsid w:val="523A537A"/>
    <w:rsid w:val="52C6295D"/>
    <w:rsid w:val="55106F91"/>
    <w:rsid w:val="5594382F"/>
    <w:rsid w:val="565E627F"/>
    <w:rsid w:val="569951D6"/>
    <w:rsid w:val="587570FD"/>
    <w:rsid w:val="58F447DB"/>
    <w:rsid w:val="590427E9"/>
    <w:rsid w:val="597649C3"/>
    <w:rsid w:val="597FC8B5"/>
    <w:rsid w:val="5BE99DB3"/>
    <w:rsid w:val="5C0857A2"/>
    <w:rsid w:val="5CC3034F"/>
    <w:rsid w:val="5EDD17F2"/>
    <w:rsid w:val="5F77EE65"/>
    <w:rsid w:val="5FBE041D"/>
    <w:rsid w:val="5FF3E9F4"/>
    <w:rsid w:val="5FF959D9"/>
    <w:rsid w:val="600D5DA2"/>
    <w:rsid w:val="60317FCB"/>
    <w:rsid w:val="60966616"/>
    <w:rsid w:val="60CB745A"/>
    <w:rsid w:val="617A1B7C"/>
    <w:rsid w:val="63072608"/>
    <w:rsid w:val="63531402"/>
    <w:rsid w:val="65947DCD"/>
    <w:rsid w:val="65D74B1E"/>
    <w:rsid w:val="65EA51C9"/>
    <w:rsid w:val="674D37A6"/>
    <w:rsid w:val="69A753F0"/>
    <w:rsid w:val="69E36748"/>
    <w:rsid w:val="69E60A33"/>
    <w:rsid w:val="6A0E74ED"/>
    <w:rsid w:val="6AE01AE3"/>
    <w:rsid w:val="6B7D28AC"/>
    <w:rsid w:val="6BF07722"/>
    <w:rsid w:val="6C9A614F"/>
    <w:rsid w:val="6D0C2478"/>
    <w:rsid w:val="6D1A398C"/>
    <w:rsid w:val="6DDFD142"/>
    <w:rsid w:val="6DFE7E6D"/>
    <w:rsid w:val="6E676AB9"/>
    <w:rsid w:val="6ED57219"/>
    <w:rsid w:val="6EE797BE"/>
    <w:rsid w:val="6EEF956E"/>
    <w:rsid w:val="70105DBA"/>
    <w:rsid w:val="71B608C6"/>
    <w:rsid w:val="7214383E"/>
    <w:rsid w:val="73724903"/>
    <w:rsid w:val="73C759C5"/>
    <w:rsid w:val="73F3E2C4"/>
    <w:rsid w:val="74AB66DC"/>
    <w:rsid w:val="7668694C"/>
    <w:rsid w:val="76DF266D"/>
    <w:rsid w:val="77023B1B"/>
    <w:rsid w:val="78036D8A"/>
    <w:rsid w:val="78632B8F"/>
    <w:rsid w:val="7AFFB759"/>
    <w:rsid w:val="7B937E3F"/>
    <w:rsid w:val="7BB907CF"/>
    <w:rsid w:val="7BDD7A75"/>
    <w:rsid w:val="7BEE0EE2"/>
    <w:rsid w:val="7BEFC382"/>
    <w:rsid w:val="7C8B6F20"/>
    <w:rsid w:val="7DDEE11D"/>
    <w:rsid w:val="7E9EC640"/>
    <w:rsid w:val="7EFBE954"/>
    <w:rsid w:val="7F0653CC"/>
    <w:rsid w:val="7F7C85D9"/>
    <w:rsid w:val="7F7FAE27"/>
    <w:rsid w:val="7F821A2C"/>
    <w:rsid w:val="7F8F1111"/>
    <w:rsid w:val="7F956761"/>
    <w:rsid w:val="7FB65919"/>
    <w:rsid w:val="7FD717CD"/>
    <w:rsid w:val="7FE51CB0"/>
    <w:rsid w:val="7FEEDB3B"/>
    <w:rsid w:val="7FFB1DDF"/>
    <w:rsid w:val="84F575D5"/>
    <w:rsid w:val="8CCB1BC3"/>
    <w:rsid w:val="8FB23E10"/>
    <w:rsid w:val="97E398B4"/>
    <w:rsid w:val="9A7F6A6A"/>
    <w:rsid w:val="9D7E4735"/>
    <w:rsid w:val="9DEE33A9"/>
    <w:rsid w:val="9F5D6FF8"/>
    <w:rsid w:val="9FBB4F8B"/>
    <w:rsid w:val="A9DBB0B8"/>
    <w:rsid w:val="AF4ECDA9"/>
    <w:rsid w:val="AF5FFDD0"/>
    <w:rsid w:val="AFD7CEFD"/>
    <w:rsid w:val="B4525E9E"/>
    <w:rsid w:val="B76FA2D5"/>
    <w:rsid w:val="B7CF52C5"/>
    <w:rsid w:val="BCFF1C47"/>
    <w:rsid w:val="BDFBC97A"/>
    <w:rsid w:val="BF2E6DCD"/>
    <w:rsid w:val="BF54D0C5"/>
    <w:rsid w:val="BF6C63E9"/>
    <w:rsid w:val="BF9FF662"/>
    <w:rsid w:val="BFBD62C5"/>
    <w:rsid w:val="CBCA2A9E"/>
    <w:rsid w:val="CFFBE1F1"/>
    <w:rsid w:val="CFFDBD91"/>
    <w:rsid w:val="D7EF6146"/>
    <w:rsid w:val="D7EFCB61"/>
    <w:rsid w:val="D9DD4DD0"/>
    <w:rsid w:val="DBC359A8"/>
    <w:rsid w:val="DDBDDF28"/>
    <w:rsid w:val="DFEC9207"/>
    <w:rsid w:val="DFFF007B"/>
    <w:rsid w:val="E9B29EEC"/>
    <w:rsid w:val="EBCCF131"/>
    <w:rsid w:val="EBF7A5F6"/>
    <w:rsid w:val="EED763C0"/>
    <w:rsid w:val="EEED176F"/>
    <w:rsid w:val="EF7AB44E"/>
    <w:rsid w:val="EFF7D01F"/>
    <w:rsid w:val="EFFB26C9"/>
    <w:rsid w:val="EFFDCB59"/>
    <w:rsid w:val="F7EFE022"/>
    <w:rsid w:val="FBAB2762"/>
    <w:rsid w:val="FBEF4EBC"/>
    <w:rsid w:val="FC7AEFBB"/>
    <w:rsid w:val="FDDF5667"/>
    <w:rsid w:val="FEFDDAF2"/>
    <w:rsid w:val="FF373012"/>
    <w:rsid w:val="FF5E9AF9"/>
    <w:rsid w:val="FF7DAA21"/>
    <w:rsid w:val="FFB3C75A"/>
    <w:rsid w:val="FFBBC4F3"/>
    <w:rsid w:val="FFEFE6AC"/>
    <w:rsid w:val="FFFD6F15"/>
    <w:rsid w:val="FFFE25FA"/>
    <w:rsid w:val="FFFF6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51"/>
    <w:unhideWhenUsed/>
    <w:qFormat/>
    <w:uiPriority w:val="99"/>
    <w:pPr>
      <w:tabs>
        <w:tab w:val="center" w:pos="4153"/>
        <w:tab w:val="right" w:pos="8306"/>
      </w:tabs>
      <w:snapToGrid w:val="0"/>
      <w:jc w:val="left"/>
    </w:pPr>
    <w:rPr>
      <w:sz w:val="18"/>
      <w:szCs w:val="18"/>
    </w:rPr>
  </w:style>
  <w:style w:type="paragraph" w:styleId="3">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100" w:beforeAutospacing="1" w:after="100" w:afterAutospacing="1"/>
      <w:jc w:val="left"/>
    </w:pPr>
    <w:rPr>
      <w:rFonts w:cs="Times New Roman"/>
      <w:kern w:val="0"/>
      <w:sz w:val="24"/>
    </w:rPr>
  </w:style>
  <w:style w:type="character" w:styleId="7">
    <w:name w:val="FollowedHyperlink"/>
    <w:basedOn w:val="6"/>
    <w:semiHidden/>
    <w:unhideWhenUsed/>
    <w:qFormat/>
    <w:uiPriority w:val="99"/>
    <w:rPr>
      <w:color w:val="005C81"/>
      <w:u w:val="none"/>
    </w:rPr>
  </w:style>
  <w:style w:type="character" w:styleId="8">
    <w:name w:val="Emphasis"/>
    <w:basedOn w:val="6"/>
    <w:qFormat/>
    <w:uiPriority w:val="20"/>
  </w:style>
  <w:style w:type="character" w:styleId="9">
    <w:name w:val="Hyperlink"/>
    <w:basedOn w:val="6"/>
    <w:semiHidden/>
    <w:unhideWhenUsed/>
    <w:qFormat/>
    <w:uiPriority w:val="99"/>
    <w:rPr>
      <w:color w:val="0000FF"/>
      <w:u w:val="single"/>
    </w:rPr>
  </w:style>
  <w:style w:type="paragraph" w:customStyle="1" w:styleId="10">
    <w:name w:val="font4"/>
    <w:basedOn w:val="1"/>
    <w:qFormat/>
    <w:uiPriority w:val="0"/>
    <w:pPr>
      <w:widowControl/>
      <w:spacing w:before="100" w:beforeAutospacing="1" w:after="100" w:afterAutospacing="1"/>
      <w:jc w:val="left"/>
    </w:pPr>
    <w:rPr>
      <w:rFonts w:ascii="Wingdings" w:hAnsi="Wingdings" w:cs="宋体"/>
      <w:color w:val="000000"/>
      <w:kern w:val="0"/>
      <w:sz w:val="22"/>
    </w:rPr>
  </w:style>
  <w:style w:type="paragraph" w:customStyle="1" w:styleId="11">
    <w:name w:val="font5"/>
    <w:basedOn w:val="1"/>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12">
    <w:name w:val="et8"/>
    <w:basedOn w:val="1"/>
    <w:qFormat/>
    <w:uiPriority w:val="0"/>
    <w:pPr>
      <w:widowControl/>
      <w:spacing w:before="100" w:beforeAutospacing="1" w:after="100" w:afterAutospacing="1"/>
      <w:jc w:val="left"/>
      <w:textAlignment w:val="center"/>
    </w:pPr>
    <w:rPr>
      <w:rFonts w:ascii="方正小标宋简体" w:hAnsi="宋体" w:eastAsia="方正小标宋简体" w:cs="宋体"/>
      <w:color w:val="000000"/>
      <w:kern w:val="0"/>
      <w:sz w:val="22"/>
    </w:rPr>
  </w:style>
  <w:style w:type="paragraph" w:customStyle="1" w:styleId="13">
    <w:name w:val="et9"/>
    <w:basedOn w:val="1"/>
    <w:qFormat/>
    <w:uiPriority w:val="0"/>
    <w:pPr>
      <w:widowControl/>
      <w:spacing w:before="100" w:beforeAutospacing="1" w:after="100" w:afterAutospacing="1"/>
      <w:jc w:val="left"/>
      <w:textAlignment w:val="center"/>
    </w:pPr>
    <w:rPr>
      <w:rFonts w:ascii="方正小标宋简体" w:hAnsi="宋体" w:eastAsia="方正小标宋简体" w:cs="宋体"/>
      <w:color w:val="000000"/>
      <w:kern w:val="0"/>
      <w:sz w:val="22"/>
    </w:rPr>
  </w:style>
  <w:style w:type="paragraph" w:customStyle="1" w:styleId="14">
    <w:name w:val="et10"/>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5">
    <w:name w:val="et11"/>
    <w:basedOn w:val="1"/>
    <w:qFormat/>
    <w:uiPriority w:val="0"/>
    <w:pPr>
      <w:widowControl/>
      <w:spacing w:before="100" w:beforeAutospacing="1" w:after="100" w:afterAutospacing="1"/>
      <w:jc w:val="left"/>
      <w:textAlignment w:val="center"/>
    </w:pPr>
    <w:rPr>
      <w:rFonts w:ascii="楷体_GB2312" w:hAnsi="宋体" w:eastAsia="楷体_GB2312" w:cs="宋体"/>
      <w:color w:val="000000"/>
      <w:kern w:val="0"/>
      <w:sz w:val="22"/>
    </w:rPr>
  </w:style>
  <w:style w:type="paragraph" w:customStyle="1" w:styleId="16">
    <w:name w:val="et12"/>
    <w:basedOn w:val="1"/>
    <w:qFormat/>
    <w:uiPriority w:val="0"/>
    <w:pPr>
      <w:widowControl/>
      <w:spacing w:before="100" w:beforeAutospacing="1" w:after="100" w:afterAutospacing="1"/>
      <w:jc w:val="left"/>
      <w:textAlignment w:val="center"/>
    </w:pPr>
    <w:rPr>
      <w:rFonts w:ascii="方正小标宋简体" w:hAnsi="宋体" w:eastAsia="方正小标宋简体" w:cs="宋体"/>
      <w:color w:val="000000"/>
      <w:kern w:val="0"/>
      <w:sz w:val="22"/>
    </w:rPr>
  </w:style>
  <w:style w:type="paragraph" w:customStyle="1" w:styleId="17">
    <w:name w:val="et13"/>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8">
    <w:name w:val="et14"/>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9">
    <w:name w:val="et15"/>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0">
    <w:name w:val="et16"/>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1">
    <w:name w:val="et17"/>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2">
    <w:name w:val="et18"/>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3">
    <w:name w:val="et19"/>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4">
    <w:name w:val="et21"/>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5">
    <w:name w:val="et22"/>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6">
    <w:name w:val="et24"/>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7">
    <w:name w:val="et25"/>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8">
    <w:name w:val="et27"/>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29">
    <w:name w:val="et28"/>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0">
    <w:name w:val="et29"/>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1">
    <w:name w:val="et30"/>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2">
    <w:name w:val="et31"/>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3">
    <w:name w:val="et32"/>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4">
    <w:name w:val="et33"/>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5">
    <w:name w:val="et34"/>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6">
    <w:name w:val="et35"/>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7">
    <w:name w:val="et36"/>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8">
    <w:name w:val="et38"/>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39">
    <w:name w:val="et40"/>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0">
    <w:name w:val="et41"/>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1">
    <w:name w:val="et42"/>
    <w:basedOn w:val="1"/>
    <w:qFormat/>
    <w:uiPriority w:val="0"/>
    <w:pPr>
      <w:widowControl/>
      <w:spacing w:before="100" w:beforeAutospacing="1" w:after="100" w:afterAutospacing="1"/>
      <w:jc w:val="left"/>
      <w:textAlignment w:val="center"/>
    </w:pPr>
    <w:rPr>
      <w:rFonts w:ascii="Arial" w:hAnsi="Arial" w:cs="Arial"/>
      <w:color w:val="000000"/>
      <w:kern w:val="0"/>
      <w:sz w:val="22"/>
    </w:rPr>
  </w:style>
  <w:style w:type="paragraph" w:customStyle="1" w:styleId="42">
    <w:name w:val="et43"/>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3">
    <w:name w:val="et44"/>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4">
    <w:name w:val="et45"/>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5">
    <w:name w:val="et46"/>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6">
    <w:name w:val="font0"/>
    <w:basedOn w:val="1"/>
    <w:qFormat/>
    <w:uiPriority w:val="0"/>
    <w:pPr>
      <w:widowControl/>
      <w:spacing w:before="100" w:beforeAutospacing="1" w:after="100" w:afterAutospacing="1"/>
      <w:jc w:val="left"/>
    </w:pPr>
    <w:rPr>
      <w:rFonts w:ascii="Wingdings" w:hAnsi="Wingdings" w:cs="宋体"/>
      <w:color w:val="000000"/>
      <w:kern w:val="0"/>
      <w:sz w:val="22"/>
    </w:rPr>
  </w:style>
  <w:style w:type="paragraph" w:customStyle="1" w:styleId="47">
    <w:name w:val="font6"/>
    <w:basedOn w:val="1"/>
    <w:qFormat/>
    <w:uiPriority w:val="0"/>
    <w:pPr>
      <w:widowControl/>
      <w:spacing w:before="100" w:beforeAutospacing="1" w:after="100" w:afterAutospacing="1"/>
      <w:jc w:val="left"/>
    </w:pPr>
    <w:rPr>
      <w:rFonts w:ascii="宋体" w:hAnsi="宋体" w:cs="宋体"/>
      <w:color w:val="000000"/>
      <w:kern w:val="0"/>
      <w:sz w:val="22"/>
    </w:rPr>
  </w:style>
  <w:style w:type="paragraph" w:customStyle="1" w:styleId="48">
    <w:name w:val="et20"/>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49">
    <w:name w:val="et23"/>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character" w:customStyle="1" w:styleId="50">
    <w:name w:val="页眉 字符"/>
    <w:basedOn w:val="6"/>
    <w:link w:val="3"/>
    <w:semiHidden/>
    <w:qFormat/>
    <w:uiPriority w:val="99"/>
    <w:rPr>
      <w:sz w:val="18"/>
      <w:szCs w:val="18"/>
    </w:rPr>
  </w:style>
  <w:style w:type="character" w:customStyle="1" w:styleId="51">
    <w:name w:val="页脚 字符"/>
    <w:basedOn w:val="6"/>
    <w:link w:val="2"/>
    <w:qFormat/>
    <w:uiPriority w:val="99"/>
    <w:rPr>
      <w:sz w:val="18"/>
      <w:szCs w:val="18"/>
    </w:rPr>
  </w:style>
  <w:style w:type="character" w:customStyle="1" w:styleId="52">
    <w:name w:val="font41"/>
    <w:basedOn w:val="6"/>
    <w:qFormat/>
    <w:uiPriority w:val="0"/>
    <w:rPr>
      <w:rFonts w:hint="default" w:ascii="Wingdings" w:hAnsi="Wingdings"/>
      <w:color w:val="000000"/>
      <w:sz w:val="22"/>
      <w:szCs w:val="22"/>
      <w:u w:val="none"/>
    </w:rPr>
  </w:style>
  <w:style w:type="character" w:customStyle="1" w:styleId="53">
    <w:name w:val="font51"/>
    <w:basedOn w:val="6"/>
    <w:qFormat/>
    <w:uiPriority w:val="0"/>
    <w:rPr>
      <w:rFonts w:hint="eastAsia" w:ascii="宋体" w:hAnsi="宋体" w:eastAsia="宋体"/>
      <w:color w:val="000000"/>
      <w:sz w:val="22"/>
      <w:szCs w:val="22"/>
      <w:u w:val="none"/>
    </w:rPr>
  </w:style>
  <w:style w:type="character" w:customStyle="1" w:styleId="54">
    <w:name w:val="font61"/>
    <w:basedOn w:val="6"/>
    <w:qFormat/>
    <w:uiPriority w:val="0"/>
    <w:rPr>
      <w:rFonts w:hint="eastAsia" w:ascii="宋体" w:hAnsi="宋体" w:eastAsia="宋体"/>
      <w:color w:val="000000"/>
      <w:sz w:val="22"/>
      <w:szCs w:val="22"/>
      <w:u w:val="none"/>
    </w:rPr>
  </w:style>
  <w:style w:type="character" w:customStyle="1" w:styleId="55">
    <w:name w:val="font01"/>
    <w:basedOn w:val="6"/>
    <w:qFormat/>
    <w:uiPriority w:val="0"/>
    <w:rPr>
      <w:rFonts w:hint="default" w:ascii="Wingdings" w:hAnsi="Wingdings"/>
      <w:color w:val="000000"/>
      <w:sz w:val="22"/>
      <w:szCs w:val="22"/>
      <w:u w:val="none"/>
    </w:rPr>
  </w:style>
  <w:style w:type="character" w:customStyle="1" w:styleId="56">
    <w:name w:val="font31"/>
    <w:basedOn w:val="6"/>
    <w:qFormat/>
    <w:uiPriority w:val="0"/>
    <w:rPr>
      <w:rFonts w:hint="eastAsia" w:ascii="宋体" w:hAnsi="宋体" w:eastAsia="宋体" w:cs="宋体"/>
      <w:color w:val="000000"/>
      <w:sz w:val="22"/>
      <w:szCs w:val="22"/>
      <w:u w:val="none"/>
    </w:rPr>
  </w:style>
  <w:style w:type="character" w:customStyle="1" w:styleId="57">
    <w:name w:val="font81"/>
    <w:basedOn w:val="6"/>
    <w:qFormat/>
    <w:uiPriority w:val="0"/>
    <w:rPr>
      <w:rFonts w:hint="eastAsia" w:ascii="宋体" w:hAnsi="宋体" w:eastAsia="宋体" w:cs="宋体"/>
      <w:color w:val="FF0000"/>
      <w:sz w:val="22"/>
      <w:szCs w:val="22"/>
      <w:u w:val="none"/>
    </w:rPr>
  </w:style>
  <w:style w:type="character" w:customStyle="1" w:styleId="58">
    <w:name w:val="font71"/>
    <w:basedOn w:val="6"/>
    <w:qFormat/>
    <w:uiPriority w:val="0"/>
    <w:rPr>
      <w:rFonts w:hint="default" w:ascii="Wingdings" w:hAnsi="Wingdings" w:cs="Wingdings"/>
      <w:color w:val="FF0000"/>
      <w:sz w:val="22"/>
      <w:szCs w:val="22"/>
      <w:u w:val="none"/>
    </w:rPr>
  </w:style>
  <w:style w:type="character" w:customStyle="1" w:styleId="59">
    <w:name w:val="font101"/>
    <w:basedOn w:val="6"/>
    <w:qFormat/>
    <w:uiPriority w:val="0"/>
    <w:rPr>
      <w:rFonts w:hint="eastAsia" w:ascii="宋体" w:hAnsi="宋体" w:eastAsia="宋体" w:cs="宋体"/>
      <w:color w:val="C0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2801</Words>
  <Characters>2857</Characters>
  <Lines>189</Lines>
  <Paragraphs>163</Paragraphs>
  <TotalTime>3</TotalTime>
  <ScaleCrop>false</ScaleCrop>
  <LinksUpToDate>false</LinksUpToDate>
  <CharactersWithSpaces>2867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2025-12-19T01:55:00Z</dcterms:created>
  <dc:creator>USER</dc:creator>
  <cp:lastModifiedBy>心暖与我安</cp:lastModifiedBy>
  <cp:lastPrinted>2025-12-18T02:38:00Z</cp:lastPrinted>
  <dcterms:modified xsi:type="dcterms:W3CDTF">2026-01-21T02:10:45Z</dcterms:modified>
  <dc:title>河北省公安厅政务公开事项清单</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eyJoZGlkIjoiMGE3NTU2MDRlM2VmNzE0ODAwNDEyNzFmZjgzOGEzNjIiLCJ1c2VySWQiOiI1NDA2MzcwMjAifQ==</vt:lpwstr>
  </property>
  <property fmtid="{D5CDD505-2E9C-101B-9397-08002B2CF9AE}" pid="4" name="ICV">
    <vt:lpwstr>E309AC8C82DD48E8A2CC87AF24281F80_13</vt:lpwstr>
  </property>
</Properties>
</file>