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sz w:val="32"/>
          <w:szCs w:val="32"/>
          <w:lang w:val="en-US" w:eastAsia="zh-CN"/>
        </w:rPr>
      </w:pPr>
    </w:p>
    <w:p>
      <w:pPr>
        <w:jc w:val="center"/>
        <w:rPr>
          <w:rFonts w:hint="eastAsia" w:ascii="仿宋" w:hAnsi="仿宋" w:eastAsia="仿宋" w:cs="仿宋"/>
          <w:sz w:val="32"/>
          <w:szCs w:val="32"/>
          <w:lang w:val="en-US" w:eastAsia="zh-CN"/>
        </w:rPr>
      </w:pPr>
    </w:p>
    <w:p>
      <w:pPr>
        <w:jc w:val="center"/>
        <w:rPr>
          <w:rFonts w:hint="eastAsia" w:ascii="仿宋" w:hAnsi="仿宋" w:eastAsia="仿宋" w:cs="仿宋"/>
          <w:sz w:val="32"/>
          <w:szCs w:val="32"/>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仿宋" w:hAnsi="仿宋" w:eastAsia="仿宋" w:cs="仿宋"/>
          <w:sz w:val="32"/>
          <w:szCs w:val="32"/>
          <w:lang w:val="en-US" w:eastAsia="zh-CN"/>
        </w:rPr>
      </w:pPr>
    </w:p>
    <w:p>
      <w:pPr>
        <w:jc w:val="center"/>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涞行办【2021】6号</w:t>
      </w:r>
    </w:p>
    <w:p>
      <w:pPr>
        <w:pStyle w:val="2"/>
        <w:keepNext w:val="0"/>
        <w:keepLines w:val="0"/>
        <w:pageBreakBefore w:val="0"/>
        <w:widowControl w:val="0"/>
        <w:kinsoku/>
        <w:wordWrap/>
        <w:overflowPunct/>
        <w:topLinePunct w:val="0"/>
        <w:autoSpaceDE/>
        <w:autoSpaceDN/>
        <w:bidi w:val="0"/>
        <w:adjustRightInd/>
        <w:snapToGrid/>
        <w:spacing w:line="40" w:lineRule="exact"/>
        <w:textAlignment w:val="auto"/>
        <w:rPr>
          <w:rFonts w:hint="eastAsia"/>
          <w:lang w:val="en-US" w:eastAsia="zh-CN"/>
        </w:rPr>
      </w:pPr>
    </w:p>
    <w:p>
      <w:pPr>
        <w:pStyle w:val="2"/>
        <w:keepNext w:val="0"/>
        <w:keepLines w:val="0"/>
        <w:pageBreakBefore w:val="0"/>
        <w:widowControl w:val="0"/>
        <w:kinsoku/>
        <w:wordWrap/>
        <w:overflowPunct/>
        <w:topLinePunct w:val="0"/>
        <w:autoSpaceDE/>
        <w:autoSpaceDN/>
        <w:bidi w:val="0"/>
        <w:adjustRightInd/>
        <w:snapToGrid/>
        <w:spacing w:line="40" w:lineRule="exact"/>
        <w:textAlignment w:val="auto"/>
        <w:rPr>
          <w:rFonts w:hint="eastAsia"/>
          <w:lang w:val="en-US" w:eastAsia="zh-CN"/>
        </w:rPr>
      </w:pPr>
    </w:p>
    <w:p>
      <w:pPr>
        <w:jc w:val="center"/>
        <w:rPr>
          <w:rFonts w:hint="eastAsia" w:ascii="宋体" w:hAnsi="宋体" w:eastAsia="宋体" w:cs="宋体"/>
          <w:b/>
          <w:spacing w:val="-20"/>
          <w:kern w:val="0"/>
          <w:sz w:val="44"/>
          <w:szCs w:val="44"/>
          <w:lang w:val="en-US" w:eastAsia="zh-CN" w:bidi="ar-SA"/>
        </w:rPr>
      </w:pPr>
      <w:r>
        <w:rPr>
          <w:rFonts w:hint="eastAsia" w:ascii="宋体" w:hAnsi="宋体" w:eastAsia="宋体" w:cs="宋体"/>
          <w:b/>
          <w:spacing w:val="-20"/>
          <w:kern w:val="0"/>
          <w:sz w:val="44"/>
          <w:szCs w:val="44"/>
          <w:lang w:val="en-US" w:eastAsia="zh-CN" w:bidi="ar-SA"/>
        </w:rPr>
        <w:t>涞源县全面推进依法行政工作领导小组办公室</w:t>
      </w:r>
    </w:p>
    <w:p>
      <w:pPr>
        <w:pStyle w:val="2"/>
        <w:spacing w:line="560" w:lineRule="exact"/>
        <w:jc w:val="center"/>
        <w:rPr>
          <w:rFonts w:hint="eastAsia" w:ascii="宋体" w:hAnsi="宋体" w:eastAsia="宋体" w:cs="宋体"/>
          <w:b/>
          <w:spacing w:val="-20"/>
          <w:kern w:val="0"/>
          <w:sz w:val="44"/>
          <w:szCs w:val="44"/>
          <w:lang w:val="en-US" w:eastAsia="zh-CN" w:bidi="ar-SA"/>
        </w:rPr>
      </w:pPr>
      <w:r>
        <w:rPr>
          <w:rFonts w:hint="eastAsia" w:ascii="宋体" w:hAnsi="宋体" w:eastAsia="宋体" w:cs="宋体"/>
          <w:b/>
          <w:spacing w:val="-20"/>
          <w:kern w:val="0"/>
          <w:sz w:val="44"/>
          <w:szCs w:val="44"/>
          <w:lang w:val="en-US" w:eastAsia="zh-CN" w:bidi="ar-SA"/>
        </w:rPr>
        <w:t>关于公布</w:t>
      </w:r>
      <w:r>
        <w:rPr>
          <w:rFonts w:hint="eastAsia" w:ascii="宋体" w:hAnsi="宋体" w:cs="宋体"/>
          <w:b/>
          <w:spacing w:val="-20"/>
          <w:kern w:val="0"/>
          <w:sz w:val="44"/>
          <w:szCs w:val="44"/>
          <w:lang w:val="en-US" w:eastAsia="zh-CN" w:bidi="ar-SA"/>
        </w:rPr>
        <w:t>涞源</w:t>
      </w:r>
      <w:r>
        <w:rPr>
          <w:rFonts w:hint="eastAsia" w:ascii="宋体" w:hAnsi="宋体" w:eastAsia="宋体" w:cs="宋体"/>
          <w:b/>
          <w:spacing w:val="-20"/>
          <w:kern w:val="0"/>
          <w:sz w:val="44"/>
          <w:szCs w:val="44"/>
          <w:lang w:val="en-US" w:eastAsia="zh-CN" w:bidi="ar-SA"/>
        </w:rPr>
        <w:t>县保留证明事项基本目录</w:t>
      </w:r>
    </w:p>
    <w:p>
      <w:pPr>
        <w:pStyle w:val="2"/>
        <w:spacing w:line="560" w:lineRule="exact"/>
        <w:jc w:val="center"/>
        <w:rPr>
          <w:rFonts w:hint="eastAsia" w:ascii="宋体" w:hAnsi="宋体" w:eastAsia="宋体" w:cs="宋体"/>
          <w:b/>
          <w:spacing w:val="-20"/>
          <w:kern w:val="0"/>
          <w:sz w:val="44"/>
          <w:szCs w:val="44"/>
          <w:lang w:val="en-US" w:eastAsia="zh-CN" w:bidi="ar-SA"/>
        </w:rPr>
      </w:pPr>
      <w:r>
        <w:rPr>
          <w:rFonts w:hint="eastAsia" w:ascii="宋体" w:hAnsi="宋体" w:eastAsia="宋体" w:cs="宋体"/>
          <w:b/>
          <w:spacing w:val="-20"/>
          <w:kern w:val="0"/>
          <w:sz w:val="44"/>
          <w:szCs w:val="44"/>
          <w:lang w:val="en-US" w:eastAsia="zh-CN" w:bidi="ar-SA"/>
        </w:rPr>
        <w:t>和</w:t>
      </w:r>
      <w:r>
        <w:rPr>
          <w:rFonts w:hint="eastAsia" w:ascii="宋体" w:hAnsi="宋体" w:cs="宋体"/>
          <w:b/>
          <w:spacing w:val="-20"/>
          <w:kern w:val="0"/>
          <w:sz w:val="44"/>
          <w:szCs w:val="44"/>
          <w:lang w:val="en-US" w:eastAsia="zh-CN" w:bidi="ar-SA"/>
        </w:rPr>
        <w:t>涞源</w:t>
      </w:r>
      <w:r>
        <w:rPr>
          <w:rFonts w:hint="eastAsia" w:ascii="宋体" w:hAnsi="宋体" w:eastAsia="宋体" w:cs="宋体"/>
          <w:b/>
          <w:spacing w:val="-20"/>
          <w:kern w:val="0"/>
          <w:sz w:val="44"/>
          <w:szCs w:val="44"/>
          <w:lang w:val="en-US" w:eastAsia="zh-CN" w:bidi="ar-SA"/>
        </w:rPr>
        <w:t>县第一批实行告知承诺制</w:t>
      </w:r>
    </w:p>
    <w:p>
      <w:pPr>
        <w:pStyle w:val="2"/>
        <w:spacing w:line="560" w:lineRule="exact"/>
        <w:jc w:val="center"/>
        <w:rPr>
          <w:rFonts w:hint="default" w:ascii="仿宋_GB2312" w:eastAsia="仿宋_GB2312"/>
          <w:sz w:val="32"/>
          <w:szCs w:val="32"/>
          <w:lang w:val="en-US" w:eastAsia="zh-CN"/>
        </w:rPr>
      </w:pPr>
      <w:r>
        <w:rPr>
          <w:rFonts w:hint="eastAsia" w:ascii="宋体" w:hAnsi="宋体" w:eastAsia="宋体" w:cs="宋体"/>
          <w:b/>
          <w:spacing w:val="-20"/>
          <w:kern w:val="0"/>
          <w:sz w:val="44"/>
          <w:szCs w:val="44"/>
          <w:lang w:val="en-US" w:eastAsia="zh-CN" w:bidi="ar-SA"/>
        </w:rPr>
        <w:t>证明事项目录的通知</w:t>
      </w:r>
      <w:r>
        <w:rPr>
          <w:rFonts w:hint="eastAsia" w:ascii="仿宋_GB2312" w:eastAsia="仿宋_GB2312"/>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rPr>
        <w:t>各</w:t>
      </w:r>
      <w:r>
        <w:rPr>
          <w:rFonts w:hint="eastAsia" w:ascii="仿宋_GB2312" w:eastAsia="仿宋_GB2312"/>
          <w:color w:val="auto"/>
          <w:sz w:val="32"/>
          <w:szCs w:val="32"/>
          <w:lang w:eastAsia="zh-CN"/>
        </w:rPr>
        <w:t>乡（镇）</w:t>
      </w:r>
      <w:r>
        <w:rPr>
          <w:rFonts w:hint="eastAsia" w:ascii="仿宋_GB2312" w:eastAsia="仿宋_GB2312"/>
          <w:color w:val="auto"/>
          <w:sz w:val="32"/>
          <w:szCs w:val="32"/>
        </w:rPr>
        <w:t>人民政府、</w:t>
      </w:r>
      <w:r>
        <w:rPr>
          <w:rFonts w:hint="eastAsia" w:ascii="仿宋_GB2312" w:eastAsia="仿宋_GB2312"/>
          <w:color w:val="auto"/>
          <w:sz w:val="32"/>
          <w:szCs w:val="32"/>
          <w:lang w:eastAsia="zh-CN"/>
        </w:rPr>
        <w:t>县</w:t>
      </w:r>
      <w:r>
        <w:rPr>
          <w:rFonts w:hint="eastAsia" w:ascii="仿宋_GB2312" w:eastAsia="仿宋_GB2312"/>
          <w:color w:val="auto"/>
          <w:sz w:val="32"/>
          <w:szCs w:val="32"/>
        </w:rPr>
        <w:t>政府各部门:</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为贯彻落实国务院和省政府推进“放管服”改革和减证便民工作的部暑要求，全面推行证明事项告知承诺制，方便群众办事创业，经县政府同意，现将《涞源县保留证明事项基本目录》和《涞源县第一批实行告知承诺制证明事项目录》予以公布，并就有关事项通知如下:</w:t>
      </w:r>
    </w:p>
    <w:p>
      <w:pPr>
        <w:ind w:firstLine="643" w:firstLineChars="200"/>
        <w:rPr>
          <w:rFonts w:hint="eastAsia" w:ascii="黑体" w:hAnsi="黑体" w:eastAsia="黑体" w:cs="黑体"/>
          <w:b/>
          <w:sz w:val="32"/>
          <w:szCs w:val="32"/>
        </w:rPr>
      </w:pPr>
      <w:r>
        <w:rPr>
          <w:rFonts w:hint="eastAsia" w:ascii="黑体" w:hAnsi="黑体" w:eastAsia="黑体" w:cs="黑体"/>
          <w:b/>
          <w:sz w:val="32"/>
          <w:szCs w:val="32"/>
        </w:rPr>
        <w:t>一、把握证明事项范围</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涞源县保留证明事项基本目录》所列证明事项为县行政机关通用证明事项，是指公民、法人和其他组织在依法向行政机关申请办理行政事项时，提供的需要由行政机关或其他机构出具，用以描客观事实或者表明符合特定条件的材料(不包括申请人已得的证件、证原、资质及前置审批事项等)。《涞源县证明事项基本目录》之外的证明事项</w:t>
      </w:r>
      <w:r>
        <w:rPr>
          <w:rFonts w:hint="eastAsia" w:ascii="仿宋" w:hAnsi="仿宋" w:eastAsia="仿宋" w:cs="仿宋"/>
          <w:color w:val="000000"/>
          <w:sz w:val="32"/>
          <w:szCs w:val="32"/>
        </w:rPr>
        <w:t>，各部门不得再要求开具(各市地方性法设定的证明事项除外)。</w:t>
      </w:r>
      <w:r>
        <w:rPr>
          <w:rFonts w:hint="eastAsia" w:ascii="仿宋" w:hAnsi="仿宋" w:eastAsia="仿宋" w:cs="仿宋"/>
          <w:sz w:val="32"/>
          <w:szCs w:val="32"/>
        </w:rPr>
        <w:t>《涞源县第一批实行告知承制证明事项目录》所列证明事项，一律按原告知承诺的办理方式予以调整。</w:t>
      </w:r>
      <w:r>
        <w:rPr>
          <w:rFonts w:hint="eastAsia" w:ascii="仿宋" w:hAnsi="仿宋" w:eastAsia="仿宋" w:cs="仿宋"/>
          <w:sz w:val="32"/>
          <w:szCs w:val="32"/>
          <w:lang w:val="en-US" w:eastAsia="zh-CN"/>
        </w:rPr>
        <w:t>各乡镇</w:t>
      </w:r>
      <w:r>
        <w:rPr>
          <w:rFonts w:hint="eastAsia" w:ascii="仿宋" w:hAnsi="仿宋" w:eastAsia="仿宋" w:cs="仿宋"/>
          <w:color w:val="000000"/>
          <w:sz w:val="32"/>
          <w:szCs w:val="32"/>
        </w:rPr>
        <w:t>各部门可以根据本部门经济社会发展和工作实际，在《涞源县第一批行告知承诺</w:t>
      </w:r>
      <w:r>
        <w:rPr>
          <w:rFonts w:hint="eastAsia" w:ascii="仿宋" w:hAnsi="仿宋" w:eastAsia="仿宋" w:cs="仿宋"/>
          <w:sz w:val="32"/>
          <w:szCs w:val="32"/>
        </w:rPr>
        <w:t>制证明事项目录》之外增加实行告知承诺的证明事项。</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各乡镇</w:t>
      </w:r>
      <w:r>
        <w:rPr>
          <w:rFonts w:hint="eastAsia" w:ascii="仿宋" w:hAnsi="仿宋" w:eastAsia="仿宋" w:cs="仿宋"/>
          <w:sz w:val="32"/>
          <w:szCs w:val="32"/>
        </w:rPr>
        <w:t>各部门应在本通知公示之日起20个工作日内，根据《涞源县保留证明事项基本目录》和《涞源县第一批实行告知承诺制证明事项目录》及</w:t>
      </w:r>
      <w:r>
        <w:rPr>
          <w:rFonts w:hint="eastAsia" w:ascii="仿宋" w:hAnsi="仿宋" w:eastAsia="仿宋" w:cs="仿宋"/>
          <w:color w:val="000000"/>
          <w:sz w:val="32"/>
          <w:szCs w:val="32"/>
        </w:rPr>
        <w:t>保定市制定的地方性法规，梳理确定本部门保留证明事项目录和实行告知承诺制证明事项目录，</w:t>
      </w:r>
      <w:r>
        <w:rPr>
          <w:rFonts w:hint="eastAsia" w:ascii="仿宋" w:hAnsi="仿宋" w:eastAsia="仿宋" w:cs="仿宋"/>
          <w:sz w:val="32"/>
          <w:szCs w:val="32"/>
        </w:rPr>
        <w:t>并在门户网站和保定市行政执法公示平台公示。</w:t>
      </w:r>
    </w:p>
    <w:p>
      <w:pPr>
        <w:ind w:firstLine="643" w:firstLineChars="200"/>
        <w:rPr>
          <w:rFonts w:hint="eastAsia" w:ascii="黑体" w:hAnsi="黑体" w:eastAsia="黑体" w:cs="黑体"/>
          <w:b/>
          <w:sz w:val="32"/>
          <w:szCs w:val="32"/>
        </w:rPr>
      </w:pPr>
      <w:r>
        <w:rPr>
          <w:rFonts w:hint="eastAsia" w:ascii="黑体" w:hAnsi="黑体" w:eastAsia="黑体" w:cs="黑体"/>
          <w:b/>
          <w:sz w:val="32"/>
          <w:szCs w:val="32"/>
        </w:rPr>
        <w:t>二、好工作衔接落实</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各乡镇</w:t>
      </w:r>
      <w:r>
        <w:rPr>
          <w:rFonts w:hint="eastAsia" w:ascii="仿宋" w:hAnsi="仿宋" w:eastAsia="仿宋" w:cs="仿宋"/>
          <w:sz w:val="32"/>
          <w:szCs w:val="32"/>
        </w:rPr>
        <w:t>各有关部门要将两个目录及相关工作要求，迅速传达部署到下级单位及具体办事部门和办事窗口，采取集中检查、抽查暗访、接受群众投诉举报等多种方式强化监督，确保落实。在政府和部门网站、保定市行政执法公示平台、政务服务大厅、办事窗口公开两个目录，接受社会监督，并主动向群众宣传解读目录内容要求和新的办理方式办理流程。注意做好政策衔接，避免出现服务“真空”和管理“空档”，影响群众(企业)办事。</w:t>
      </w:r>
    </w:p>
    <w:p>
      <w:pPr>
        <w:ind w:firstLine="643" w:firstLineChars="200"/>
        <w:rPr>
          <w:rFonts w:hint="eastAsia" w:ascii="黑体" w:hAnsi="黑体" w:eastAsia="黑体" w:cs="黑体"/>
          <w:b/>
          <w:sz w:val="32"/>
          <w:szCs w:val="32"/>
        </w:rPr>
      </w:pPr>
      <w:r>
        <w:rPr>
          <w:rFonts w:hint="eastAsia" w:ascii="黑体" w:hAnsi="黑体" w:eastAsia="黑体" w:cs="黑体"/>
          <w:b/>
          <w:sz w:val="32"/>
          <w:szCs w:val="32"/>
        </w:rPr>
        <w:t>三、完善配套工作机制</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对实行告知承诺制的证明事项设一个月过渡期。过渡期内，有关部门要抓紧制定配套工作制度、完善工作流程，过渡期后一律按照告知承诺制方式办理。涉及部门间协助核查的事项，相关部门之间要抓紧沟通协商，建立顺畅、高效的核查信息发送和反馈机制，减少流转环节，提高核查反馈效率，确保在规定时间内办结。</w:t>
      </w:r>
    </w:p>
    <w:p>
      <w:pPr>
        <w:ind w:firstLine="643" w:firstLineChars="200"/>
        <w:rPr>
          <w:rFonts w:hint="eastAsia" w:ascii="黑体" w:hAnsi="黑体" w:eastAsia="黑体" w:cs="黑体"/>
          <w:b/>
          <w:sz w:val="32"/>
          <w:szCs w:val="32"/>
        </w:rPr>
      </w:pPr>
      <w:r>
        <w:rPr>
          <w:rFonts w:hint="eastAsia" w:ascii="黑体" w:hAnsi="黑体" w:eastAsia="黑体" w:cs="黑体"/>
          <w:b/>
          <w:sz w:val="32"/>
          <w:szCs w:val="32"/>
        </w:rPr>
        <w:t>四、加强目录动态管理</w:t>
      </w:r>
    </w:p>
    <w:p>
      <w:pPr>
        <w:ind w:firstLine="640" w:firstLineChars="200"/>
        <w:rPr>
          <w:rFonts w:hint="eastAsia" w:ascii="仿宋" w:hAnsi="仿宋" w:eastAsia="仿宋" w:cs="仿宋"/>
          <w:sz w:val="32"/>
          <w:szCs w:val="32"/>
        </w:rPr>
      </w:pPr>
      <w:r>
        <w:rPr>
          <w:rFonts w:hint="eastAsia" w:ascii="仿宋" w:hAnsi="仿宋" w:eastAsia="仿宋" w:cs="仿宋"/>
          <w:sz w:val="32"/>
          <w:szCs w:val="32"/>
        </w:rPr>
        <w:t>目录公布后，对保留证明事项和实行告知承诺制证明事项实施动态管理，结合我县“互联网十政务服务”、部门间信息共享等工作推进情况，以及国家取消、新增、调整证明事项的相关部暑，</w:t>
      </w:r>
      <w:r>
        <w:rPr>
          <w:rFonts w:hint="eastAsia" w:ascii="仿宋" w:hAnsi="仿宋" w:eastAsia="仿宋" w:cs="仿宋"/>
          <w:color w:val="000000"/>
          <w:sz w:val="32"/>
          <w:szCs w:val="32"/>
        </w:rPr>
        <w:t>及时对</w:t>
      </w:r>
      <w:r>
        <w:rPr>
          <w:rFonts w:hint="eastAsia" w:ascii="仿宋" w:hAnsi="仿宋" w:eastAsia="仿宋" w:cs="仿宋"/>
          <w:color w:val="000000"/>
          <w:sz w:val="32"/>
          <w:szCs w:val="32"/>
          <w:lang w:val="en-US" w:eastAsia="zh-CN"/>
        </w:rPr>
        <w:t>本乡镇</w:t>
      </w:r>
      <w:r>
        <w:rPr>
          <w:rFonts w:hint="eastAsia" w:ascii="仿宋" w:hAnsi="仿宋" w:eastAsia="仿宋" w:cs="仿宋"/>
          <w:color w:val="000000"/>
          <w:sz w:val="32"/>
          <w:szCs w:val="32"/>
        </w:rPr>
        <w:t>本部门保留证明事项目录和实行告知承诺制证明事项目录进行动态调整、</w:t>
      </w:r>
      <w:r>
        <w:rPr>
          <w:rFonts w:hint="eastAsia" w:ascii="仿宋" w:hAnsi="仿宋" w:eastAsia="仿宋" w:cs="仿宋"/>
          <w:sz w:val="32"/>
          <w:szCs w:val="32"/>
        </w:rPr>
        <w:t>补充、完善，按程序报批后向社会公布实施。</w:t>
      </w:r>
    </w:p>
    <w:p>
      <w:pPr>
        <w:rPr>
          <w:rFonts w:hint="eastAsia" w:ascii="仿宋" w:hAnsi="仿宋" w:eastAsia="仿宋" w:cs="仿宋"/>
          <w:sz w:val="32"/>
          <w:szCs w:val="32"/>
        </w:rPr>
      </w:pPr>
    </w:p>
    <w:p>
      <w:pPr>
        <w:ind w:firstLine="320" w:firstLineChars="100"/>
        <w:rPr>
          <w:rFonts w:hint="eastAsia" w:ascii="仿宋" w:hAnsi="仿宋" w:eastAsia="仿宋" w:cs="仿宋"/>
          <w:sz w:val="32"/>
          <w:szCs w:val="32"/>
        </w:rPr>
      </w:pPr>
      <w:r>
        <w:rPr>
          <w:rFonts w:hint="eastAsia" w:ascii="仿宋" w:hAnsi="仿宋" w:eastAsia="仿宋" w:cs="仿宋"/>
          <w:sz w:val="32"/>
          <w:szCs w:val="32"/>
        </w:rPr>
        <w:t>附件: 1.涞源县保留证明事项基本目录</w:t>
      </w:r>
    </w:p>
    <w:p>
      <w:pPr>
        <w:numPr>
          <w:ilvl w:val="0"/>
          <w:numId w:val="1"/>
        </w:numPr>
        <w:ind w:firstLine="1280" w:firstLineChars="400"/>
        <w:rPr>
          <w:rFonts w:hint="eastAsia" w:ascii="仿宋" w:hAnsi="仿宋" w:eastAsia="仿宋" w:cs="仿宋"/>
          <w:sz w:val="32"/>
          <w:szCs w:val="32"/>
        </w:rPr>
      </w:pPr>
      <w:r>
        <w:rPr>
          <w:rFonts w:hint="eastAsia" w:ascii="仿宋" w:hAnsi="仿宋" w:eastAsia="仿宋" w:cs="仿宋"/>
          <w:sz w:val="32"/>
          <w:szCs w:val="32"/>
        </w:rPr>
        <w:t>涞源县第一批实行告知承诺制证明目录</w:t>
      </w:r>
    </w:p>
    <w:p>
      <w:pPr>
        <w:numPr>
          <w:ilvl w:val="0"/>
          <w:numId w:val="0"/>
        </w:numPr>
        <w:rPr>
          <w:rFonts w:hint="eastAsia" w:ascii="仿宋" w:hAnsi="仿宋" w:eastAsia="仿宋" w:cs="仿宋"/>
          <w:sz w:val="32"/>
          <w:szCs w:val="32"/>
        </w:rPr>
      </w:pPr>
    </w:p>
    <w:p>
      <w:pPr>
        <w:numPr>
          <w:ilvl w:val="0"/>
          <w:numId w:val="0"/>
        </w:numPr>
        <w:rPr>
          <w:rFonts w:hint="eastAsia" w:ascii="仿宋" w:hAnsi="仿宋" w:eastAsia="仿宋" w:cs="仿宋"/>
          <w:sz w:val="32"/>
          <w:szCs w:val="32"/>
        </w:rPr>
      </w:pPr>
      <w:r>
        <w:rPr>
          <w:rFonts w:hint="eastAsia" w:ascii="仿宋" w:hAnsi="仿宋" w:eastAsia="仿宋" w:cs="仿宋"/>
          <w:sz w:val="32"/>
          <w:szCs w:val="32"/>
        </w:rPr>
        <w:t>附件下载邮箱为：</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"mailto:lyxfzbzfjd001@163.com" </w:instrText>
      </w:r>
      <w:r>
        <w:rPr>
          <w:rFonts w:hint="eastAsia" w:ascii="仿宋" w:hAnsi="仿宋" w:eastAsia="仿宋" w:cs="仿宋"/>
          <w:sz w:val="32"/>
          <w:szCs w:val="32"/>
        </w:rPr>
        <w:fldChar w:fldCharType="separate"/>
      </w:r>
      <w:r>
        <w:rPr>
          <w:rStyle w:val="7"/>
          <w:rFonts w:hint="eastAsia" w:ascii="仿宋" w:hAnsi="仿宋" w:eastAsia="仿宋" w:cs="仿宋"/>
          <w:sz w:val="32"/>
          <w:szCs w:val="32"/>
        </w:rPr>
        <w:t>lyxfzbzfjd001@163.com</w:t>
      </w:r>
      <w:r>
        <w:rPr>
          <w:rStyle w:val="7"/>
          <w:rFonts w:hint="eastAsia" w:ascii="仿宋" w:hAnsi="仿宋" w:eastAsia="仿宋" w:cs="仿宋"/>
          <w:sz w:val="32"/>
          <w:szCs w:val="32"/>
        </w:rPr>
        <w:fldChar w:fldCharType="end"/>
      </w:r>
    </w:p>
    <w:p>
      <w:pPr>
        <w:numPr>
          <w:ilvl w:val="0"/>
          <w:numId w:val="0"/>
        </w:numPr>
        <w:rPr>
          <w:rFonts w:hint="eastAsia" w:ascii="仿宋" w:hAnsi="仿宋" w:eastAsia="仿宋" w:cs="仿宋"/>
          <w:sz w:val="32"/>
          <w:szCs w:val="32"/>
        </w:rPr>
      </w:pPr>
      <w:r>
        <w:rPr>
          <w:rFonts w:hint="eastAsia" w:ascii="仿宋" w:hAnsi="仿宋" w:eastAsia="仿宋" w:cs="仿宋"/>
          <w:sz w:val="32"/>
          <w:szCs w:val="32"/>
        </w:rPr>
        <w:t xml:space="preserve">          密码：fzb123456 </w:t>
      </w:r>
    </w:p>
    <w:p>
      <w:pPr>
        <w:keepNext w:val="0"/>
        <w:keepLines w:val="0"/>
        <w:pageBreakBefore w:val="0"/>
        <w:widowControl w:val="0"/>
        <w:kinsoku/>
        <w:wordWrap/>
        <w:overflowPunct/>
        <w:topLinePunct w:val="0"/>
        <w:autoSpaceDE/>
        <w:autoSpaceDN/>
        <w:bidi w:val="0"/>
        <w:adjustRightInd/>
        <w:snapToGrid/>
        <w:spacing w:line="560" w:lineRule="exact"/>
        <w:ind w:right="640" w:firstLine="5120" w:firstLineChars="1600"/>
        <w:textAlignment w:val="auto"/>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640" w:firstLine="5120" w:firstLineChars="1600"/>
        <w:textAlignment w:val="auto"/>
        <w:rPr>
          <w:rFonts w:hint="eastAsia" w:ascii="仿宋_GB2312" w:eastAsia="仿宋_GB2312"/>
          <w:color w:val="auto"/>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640" w:firstLine="5120" w:firstLineChars="1600"/>
        <w:textAlignment w:val="auto"/>
      </w:pPr>
      <w:bookmarkStart w:id="0" w:name="_GoBack"/>
      <w:bookmarkEnd w:id="0"/>
      <w:r>
        <w:rPr>
          <w:rFonts w:hint="eastAsia" w:ascii="仿宋_GB2312" w:eastAsia="仿宋_GB2312"/>
          <w:color w:val="auto"/>
          <w:sz w:val="32"/>
          <w:szCs w:val="32"/>
        </w:rPr>
        <w:t>202</w:t>
      </w:r>
      <w:r>
        <w:rPr>
          <w:rFonts w:hint="eastAsia" w:ascii="仿宋_GB2312" w:eastAsia="仿宋_GB2312"/>
          <w:color w:val="auto"/>
          <w:sz w:val="32"/>
          <w:szCs w:val="32"/>
          <w:lang w:val="en-US" w:eastAsia="zh-CN"/>
        </w:rPr>
        <w:t>1</w:t>
      </w:r>
      <w:r>
        <w:rPr>
          <w:rFonts w:hint="eastAsia" w:ascii="仿宋_GB2312" w:eastAsia="仿宋_GB2312"/>
          <w:color w:val="auto"/>
          <w:sz w:val="32"/>
          <w:szCs w:val="32"/>
        </w:rPr>
        <w:t>年</w:t>
      </w:r>
      <w:r>
        <w:rPr>
          <w:rFonts w:hint="eastAsia" w:ascii="仿宋_GB2312" w:eastAsia="仿宋_GB2312"/>
          <w:color w:val="auto"/>
          <w:sz w:val="32"/>
          <w:szCs w:val="32"/>
          <w:lang w:val="en-US" w:eastAsia="zh-CN"/>
        </w:rPr>
        <w:t>10</w:t>
      </w:r>
      <w:r>
        <w:rPr>
          <w:rFonts w:hint="eastAsia" w:ascii="仿宋_GB2312" w:eastAsia="仿宋_GB2312"/>
          <w:color w:val="auto"/>
          <w:sz w:val="32"/>
          <w:szCs w:val="32"/>
        </w:rPr>
        <w:t>月</w:t>
      </w:r>
      <w:r>
        <w:rPr>
          <w:rFonts w:hint="eastAsia" w:ascii="仿宋_GB2312" w:eastAsia="仿宋_GB2312"/>
          <w:color w:val="auto"/>
          <w:sz w:val="32"/>
          <w:szCs w:val="32"/>
          <w:lang w:val="en-US" w:eastAsia="zh-CN"/>
        </w:rPr>
        <w:t>14</w:t>
      </w:r>
      <w:r>
        <w:rPr>
          <w:rFonts w:hint="eastAsia" w:ascii="仿宋_GB2312" w:eastAsia="仿宋_GB2312"/>
          <w:color w:val="auto"/>
          <w:sz w:val="32"/>
          <w:szCs w:val="32"/>
        </w:rPr>
        <w:t>日</w:t>
      </w:r>
      <w:r>
        <w:rPr>
          <w:rFonts w:hint="eastAsia" w:ascii="仿宋_GB2312" w:eastAsia="仿宋_GB2312"/>
          <w:color w:val="auto"/>
          <w:sz w:val="32"/>
          <w:szCs w:val="32"/>
          <w:lang w:val="en-US" w:eastAsia="zh-CN"/>
        </w:rPr>
        <w:t xml:space="preserve">  </w:t>
      </w: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 w:name="小标宋">
    <w:altName w:val="微软雅黑"/>
    <w:panose1 w:val="00000000000000000000"/>
    <w:charset w:val="86"/>
    <w:family w:val="auto"/>
    <w:pitch w:val="default"/>
    <w:sig w:usb0="00000000" w:usb1="00000000" w:usb2="0000001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5D9A42"/>
    <w:multiLevelType w:val="multilevel"/>
    <w:tmpl w:val="025D9A42"/>
    <w:lvl w:ilvl="0" w:tentative="0">
      <w:start w:val="2"/>
      <w:numFmt w:val="decimal"/>
      <w:lvlText w:val="%1."/>
      <w:lvlJc w:val="left"/>
      <w:pPr>
        <w:tabs>
          <w:tab w:val="left" w:pos="312"/>
        </w:tabs>
      </w:pPr>
      <w:rPr>
        <w:rFonts w:hint="default"/>
        <w:u w:val="none" w:color="auto"/>
      </w:rPr>
    </w:lvl>
    <w:lvl w:ilvl="1" w:tentative="0">
      <w:start w:val="1"/>
      <w:numFmt w:val="decimal"/>
      <w:lvlText w:val=""/>
      <w:lvlJc w:val="left"/>
      <w:rPr>
        <w:rFonts w:hint="default"/>
        <w:u w:val="none" w:color="auto"/>
      </w:rPr>
    </w:lvl>
    <w:lvl w:ilvl="2" w:tentative="0">
      <w:start w:val="1"/>
      <w:numFmt w:val="decimal"/>
      <w:lvlText w:val=""/>
      <w:lvlJc w:val="left"/>
      <w:rPr>
        <w:rFonts w:hint="default"/>
        <w:u w:val="none" w:color="auto"/>
      </w:rPr>
    </w:lvl>
    <w:lvl w:ilvl="3" w:tentative="0">
      <w:start w:val="1"/>
      <w:numFmt w:val="decimal"/>
      <w:lvlText w:val=""/>
      <w:lvlJc w:val="left"/>
      <w:rPr>
        <w:rFonts w:hint="default"/>
        <w:u w:val="none" w:color="auto"/>
      </w:rPr>
    </w:lvl>
    <w:lvl w:ilvl="4" w:tentative="0">
      <w:start w:val="1"/>
      <w:numFmt w:val="decimal"/>
      <w:lvlText w:val=""/>
      <w:lvlJc w:val="left"/>
      <w:rPr>
        <w:rFonts w:hint="default"/>
        <w:u w:val="none" w:color="auto"/>
      </w:rPr>
    </w:lvl>
    <w:lvl w:ilvl="5" w:tentative="0">
      <w:start w:val="1"/>
      <w:numFmt w:val="decimal"/>
      <w:lvlText w:val=""/>
      <w:lvlJc w:val="left"/>
      <w:rPr>
        <w:rFonts w:hint="default"/>
        <w:u w:val="none" w:color="auto"/>
      </w:rPr>
    </w:lvl>
    <w:lvl w:ilvl="6" w:tentative="0">
      <w:start w:val="1"/>
      <w:numFmt w:val="decimal"/>
      <w:lvlText w:val=""/>
      <w:lvlJc w:val="left"/>
      <w:rPr>
        <w:rFonts w:hint="default"/>
        <w:u w:val="none" w:color="auto"/>
      </w:rPr>
    </w:lvl>
    <w:lvl w:ilvl="7" w:tentative="0">
      <w:start w:val="1"/>
      <w:numFmt w:val="decimal"/>
      <w:lvlText w:val=""/>
      <w:lvlJc w:val="left"/>
      <w:rPr>
        <w:rFonts w:hint="default"/>
        <w:u w:val="none" w:color="auto"/>
      </w:rPr>
    </w:lvl>
    <w:lvl w:ilvl="8" w:tentative="0">
      <w:start w:val="1"/>
      <w:numFmt w:val="decimal"/>
      <w:lvlText w:val=""/>
      <w:lvlJc w:val="left"/>
      <w:rPr>
        <w:rFonts w:hint="default"/>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492209"/>
    <w:rsid w:val="0A492209"/>
    <w:rsid w:val="0CCC04EF"/>
    <w:rsid w:val="38DA594E"/>
    <w:rsid w:val="393E094B"/>
    <w:rsid w:val="3A0D7DC0"/>
    <w:rsid w:val="45BA6647"/>
    <w:rsid w:val="54555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2021-09-02T06:46:00Z</dcterms:created>
  <dc:creator>拉手手吃肉肉</dc:creator>
  <cp:lastModifiedBy>拉手手吃肉肉</cp:lastModifiedBy>
  <cp:lastPrinted>2021-10-14T03:01:22Z</cp:lastPrinted>
  <dcterms:modified xsi:type="dcterms:W3CDTF">2021-10-14T03:03:46Z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71186DFC6B5D4C6CB3295CF136DC8B6B</vt:lpwstr>
  </property>
</Properties>
</file>