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rFonts w:ascii="黑体" w:eastAsia="黑体"/>
          <w:sz w:val="44"/>
          <w:szCs w:val="44"/>
        </w:rPr>
      </w:pPr>
      <w:r>
        <w:rPr>
          <w:rFonts w:ascii="黑体" w:eastAsia="黑体" w:hint="eastAsia"/>
          <w:sz w:val="44"/>
          <w:szCs w:val="44"/>
        </w:rPr>
        <w:t>涞源县人民政府关于</w:t>
      </w:r>
    </w:p>
    <w:p>
      <w:pPr>
        <w:jc w:val="center"/>
        <w:rPr>
          <w:rFonts w:ascii="黑体" w:eastAsia="黑体"/>
          <w:sz w:val="44"/>
          <w:szCs w:val="44"/>
        </w:rPr>
      </w:pPr>
      <w:r>
        <w:rPr>
          <w:rFonts w:ascii="黑体" w:eastAsia="黑体" w:hint="eastAsia"/>
          <w:sz w:val="44"/>
          <w:szCs w:val="44"/>
        </w:rPr>
        <w:t>印发《涞源县重大行政决策专家论证</w:t>
      </w:r>
    </w:p>
    <w:p>
      <w:pPr>
        <w:jc w:val="center"/>
        <w:rPr>
          <w:rFonts w:ascii="黑体" w:eastAsia="黑体"/>
          <w:sz w:val="44"/>
          <w:szCs w:val="44"/>
        </w:rPr>
      </w:pPr>
      <w:r>
        <w:rPr>
          <w:rFonts w:ascii="黑体" w:eastAsia="黑体" w:hint="eastAsia"/>
          <w:sz w:val="44"/>
          <w:szCs w:val="44"/>
        </w:rPr>
        <w:t>办法》的通知</w:t>
      </w:r>
    </w:p>
    <w:p>
      <w:pPr>
        <w:jc w:val="center"/>
        <w:rPr>
          <w:rFonts w:ascii="黑体" w:eastAsia="黑体" w:hint="eastAsia"/>
          <w:sz w:val="44"/>
          <w:szCs w:val="44"/>
        </w:rPr>
      </w:pPr>
    </w:p>
    <w:p>
      <w:pPr>
        <w:rPr>
          <w:rFonts w:ascii="仿宋" w:eastAsia="仿宋" w:hint="eastAsia"/>
          <w:sz w:val="32"/>
          <w:szCs w:val="32"/>
        </w:rPr>
      </w:pPr>
      <w:r>
        <w:rPr>
          <w:rFonts w:ascii="仿宋" w:eastAsia="仿宋" w:hint="eastAsia"/>
          <w:sz w:val="32"/>
          <w:szCs w:val="32"/>
        </w:rPr>
        <w:t>各乡（镇）人民政府，县政府各部门：</w:t>
      </w:r>
    </w:p>
    <w:p>
      <w:pPr>
        <w:rPr>
          <w:rFonts w:ascii="仿宋" w:eastAsia="仿宋"/>
          <w:sz w:val="32"/>
          <w:szCs w:val="32"/>
        </w:rPr>
      </w:pPr>
      <w:r>
        <w:rPr>
          <w:rFonts w:ascii="仿宋" w:eastAsia="仿宋" w:hint="eastAsia"/>
          <w:sz w:val="32"/>
          <w:szCs w:val="32"/>
        </w:rPr>
        <w:t xml:space="preserve">      《涞源县重大行政决策专家论证办法》已经县政府研究同意，现印发给你们，请认真抓好贯彻落实。</w:t>
      </w:r>
    </w:p>
    <w:p>
      <w:pPr>
        <w:rPr>
          <w:rFonts w:ascii="仿宋" w:eastAsia="仿宋"/>
          <w:sz w:val="32"/>
          <w:szCs w:val="32"/>
        </w:rPr>
      </w:pPr>
    </w:p>
    <w:p>
      <w:pPr>
        <w:rPr>
          <w:rFonts w:ascii="仿宋" w:eastAsia="仿宋"/>
          <w:sz w:val="32"/>
          <w:szCs w:val="32"/>
        </w:rPr>
      </w:pPr>
      <w:r>
        <w:rPr>
          <w:rFonts w:ascii="仿宋" w:eastAsia="仿宋"/>
          <w:sz w:val="32"/>
          <w:szCs w:val="32"/>
        </w:rPr>
        <w:t xml:space="preserve">                                    涞源县人民政府</w:t>
      </w:r>
    </w:p>
    <w:p>
      <w:pPr>
        <w:rPr>
          <w:rFonts w:ascii="仿宋" w:eastAsia="仿宋"/>
          <w:sz w:val="32"/>
          <w:szCs w:val="32"/>
        </w:rPr>
      </w:pPr>
      <w:r>
        <w:rPr>
          <w:rFonts w:ascii="仿宋" w:eastAsia="仿宋"/>
          <w:sz w:val="32"/>
          <w:szCs w:val="32"/>
        </w:rPr>
        <w:t xml:space="preserve">                                    2022年8月12日</w:t>
      </w: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rPr>
          <w:rFonts w:ascii="仿宋" w:eastAsia="仿宋"/>
          <w:sz w:val="32"/>
          <w:szCs w:val="32"/>
        </w:rPr>
      </w:pPr>
    </w:p>
    <w:p>
      <w:pPr>
        <w:jc w:val="center"/>
        <w:rPr>
          <w:rFonts w:ascii="黑体" w:eastAsia="黑体"/>
          <w:sz w:val="44"/>
          <w:szCs w:val="44"/>
        </w:rPr>
      </w:pPr>
      <w:r>
        <w:rPr>
          <w:rFonts w:ascii="黑体" w:eastAsia="黑体" w:hint="eastAsia"/>
          <w:sz w:val="44"/>
          <w:szCs w:val="44"/>
        </w:rPr>
        <w:t>涞源县重大行政决策专家论证办法</w:t>
      </w:r>
    </w:p>
    <w:p>
      <w:pPr>
        <w:jc w:val="center"/>
        <w:rPr>
          <w:rFonts w:ascii="黑体" w:eastAsia="黑体" w:hint="eastAsia"/>
          <w:sz w:val="44"/>
          <w:szCs w:val="44"/>
        </w:rPr>
      </w:pPr>
    </w:p>
    <w:p>
      <w:pPr>
        <w:ind w:firstLineChars="200" w:firstLine="640"/>
        <w:rPr>
          <w:rFonts w:ascii="仿宋" w:eastAsia="仿宋"/>
          <w:sz w:val="32"/>
          <w:szCs w:val="32"/>
        </w:rPr>
      </w:pPr>
      <w:r>
        <w:rPr>
          <w:rFonts w:ascii="仿宋" w:eastAsia="仿宋"/>
          <w:sz w:val="32"/>
          <w:szCs w:val="32"/>
        </w:rPr>
        <w:t>为规范县政府重大行政决策专家论证程序，推进县政府依法、科学、民主决策，根据</w:t>
      </w:r>
      <w:bookmarkStart w:id="0" w:name="_GoBack"/>
      <w:bookmarkEnd w:id="0"/>
      <w:r>
        <w:rPr>
          <w:rFonts w:ascii="仿宋" w:eastAsia="仿宋"/>
          <w:sz w:val="32"/>
          <w:szCs w:val="32"/>
        </w:rPr>
        <w:t>《关于加强法治政府建设的意见》等有关规定，结合本县实际，制定本办法。</w:t>
      </w:r>
    </w:p>
    <w:p>
      <w:pPr>
        <w:ind w:firstLineChars="200" w:firstLine="640"/>
        <w:rPr>
          <w:rFonts w:ascii="仿宋" w:eastAsia="仿宋"/>
          <w:sz w:val="32"/>
          <w:szCs w:val="32"/>
        </w:rPr>
      </w:pPr>
      <w:r>
        <w:rPr>
          <w:rFonts w:ascii="仿宋" w:eastAsia="仿宋"/>
          <w:sz w:val="32"/>
          <w:szCs w:val="32"/>
        </w:rPr>
        <w:t>第一条 本办法所称重大行政决策专家论证，是指在重大行政决策起草过程中，决策事项承办单位组织相关领域专家或者专业机构对重大行政决策事项的专业性、技术性等问题开展的论证咨询活动。</w:t>
      </w:r>
    </w:p>
    <w:p>
      <w:pPr>
        <w:ind w:firstLineChars="200" w:firstLine="640"/>
        <w:rPr>
          <w:rFonts w:ascii="仿宋" w:eastAsia="仿宋"/>
          <w:sz w:val="32"/>
          <w:szCs w:val="32"/>
        </w:rPr>
      </w:pPr>
      <w:r>
        <w:rPr>
          <w:rFonts w:ascii="仿宋" w:eastAsia="仿宋"/>
          <w:sz w:val="32"/>
          <w:szCs w:val="32"/>
        </w:rPr>
        <w:t>第二条 对专业性、技术性较强的决策事项，决策承办单位应当组织专家、专业机构论证其必要性、可行性、科学性等，并提供必要保障。</w:t>
      </w:r>
    </w:p>
    <w:p>
      <w:pPr>
        <w:ind w:firstLineChars="200" w:firstLine="640"/>
        <w:rPr>
          <w:rFonts w:ascii="仿宋" w:eastAsia="仿宋"/>
          <w:sz w:val="32"/>
          <w:szCs w:val="32"/>
        </w:rPr>
      </w:pPr>
      <w:r>
        <w:rPr>
          <w:rFonts w:ascii="仿宋" w:eastAsia="仿宋"/>
          <w:sz w:val="32"/>
          <w:szCs w:val="32"/>
        </w:rPr>
        <w:t>专家、专业机构应当独立开展论证工作，客观、公正、科学地提出论证意见，并对所知悉的国家秘密、商业秘密、个人隐私依法履行保密义务；提供书面论证意见的，应当署名、盖章。</w:t>
      </w:r>
    </w:p>
    <w:p>
      <w:pPr>
        <w:ind w:firstLineChars="200" w:firstLine="640"/>
        <w:rPr>
          <w:rFonts w:ascii="仿宋" w:eastAsia="仿宋"/>
          <w:sz w:val="32"/>
          <w:szCs w:val="32"/>
        </w:rPr>
      </w:pPr>
      <w:r>
        <w:rPr>
          <w:rFonts w:ascii="仿宋" w:eastAsia="仿宋"/>
          <w:sz w:val="32"/>
          <w:szCs w:val="32"/>
        </w:rPr>
        <w:t>第三条 决策承办单位组织专家论证，可以采取论证会、书面咨询、委托咨询论证等方式。选择专家，专业机构参与论证，应当坚持专业性、代表性和中立性，注重选择持不同意见的专家、专业机构，不得选择与决策事项有直接利害关系的专家、专业机构。</w:t>
      </w:r>
    </w:p>
    <w:p>
      <w:pPr>
        <w:ind w:leftChars="152" w:left="319" w:firstLineChars="100" w:firstLine="320"/>
        <w:rPr>
          <w:rFonts w:ascii="仿宋" w:eastAsia="仿宋"/>
          <w:sz w:val="32"/>
          <w:szCs w:val="32"/>
        </w:rPr>
      </w:pPr>
      <w:r>
        <w:rPr>
          <w:rFonts w:ascii="仿宋" w:eastAsia="仿宋"/>
          <w:sz w:val="32"/>
          <w:szCs w:val="32"/>
        </w:rPr>
        <w:t xml:space="preserve">第四条 县政府可以根据需要建立决策咨询论证专家库，规范专家库运行管理制度，健全专家诚信考该和退出机制。 </w:t>
      </w:r>
    </w:p>
    <w:p>
      <w:pPr>
        <w:ind w:leftChars="152" w:left="319" w:firstLineChars="200" w:firstLine="640"/>
        <w:rPr>
          <w:rFonts w:ascii="仿宋" w:eastAsia="仿宋"/>
          <w:sz w:val="32"/>
          <w:szCs w:val="32"/>
        </w:rPr>
      </w:pPr>
      <w:r>
        <w:rPr>
          <w:rFonts w:ascii="仿宋" w:eastAsia="仿宋"/>
          <w:sz w:val="32"/>
          <w:szCs w:val="32"/>
        </w:rPr>
        <w:t>第五条    本办法自发布之日起施行。</w:t>
      </w:r>
    </w:p>
    <w:p>
      <w:pPr>
        <w:rPr>
          <w:rFonts w:ascii="仿宋" w:eastAsia="仿宋"/>
          <w:sz w:val="32"/>
          <w:szCs w:val="32"/>
        </w:rPr>
      </w:pPr>
    </w:p>
    <w:p>
      <w:pPr>
        <w:rPr>
          <w:rFonts w:ascii="仿宋" w:eastAsia="仿宋" w:hint="eastAsia"/>
          <w:sz w:val="32"/>
          <w:szCs w:val="32"/>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05"/>
  <w:drawingGridVerticalSpacing w:val="156"/>
  <w:displayHorizontalDrawingGridEvery w:val="0"/>
  <w:displayVerticalDrawingGridEvery w:val="2"/>
  <w:noPunctuationKerning/>
  <w:noLineBreaksAfter w:lang="zh-CN" w:val="$([{£¥·‘“〈《「『【〔〖〝﹙﹛﹝＄（．［｛￡￥"/>
  <w:noLineBreaksBefore w:lang="zh-CN" w:val="!%),.:;&gt;?]}¢¨°·ˇˉ―‖’”…‰′″›℃∶、。〃〉》」』】〕〗〞︶︺︾﹀﹄﹚﹜﹞！＂％＇），．：；？］｀｜｝～￠"/>
  <w:compat>
    <w:spaceForUL/>
    <w:balanceSingleByteDoubleByteWidth/>
    <w:ulTrailSpace/>
    <w:doNotExpandShiftReturn/>
    <w:adjustLineHeightInTable/>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12</TotalTime>
  <Application>Yozo_Office27021597764231179</Application>
  <Pages>3</Pages>
  <Words>595</Words>
  <Characters>599</Characters>
  <Lines>48</Lines>
  <Paragraphs>15</Paragraphs>
  <CharactersWithSpaces>686</CharactersWithSpaces>
  <Company>Yozosoft</Company>
</Properties>
</file>

<file path=docProps/core.xml><?xml version="1.0" encoding="utf-8"?>
<cp:coreProperties xmlns:cp="http://schemas.openxmlformats.org/package/2006/metadata/core-properties" xmlns:dc="http://purl.org/dc/elements/1.1/" xmlns:dcterms="http://purl.org/dc/terms/" xmlns:xsi="http://www.w3.org/2001/XMLSchema-instance">
  <dc:creator>User274</dc:creator>
  <cp:lastModifiedBy>THTF</cp:lastModifiedBy>
  <cp:revision>1</cp:revision>
  <dcterms:created xsi:type="dcterms:W3CDTF">2021-05-08T07:28:00Z</dcterms:created>
  <dcterms:modified xsi:type="dcterms:W3CDTF">2022-08-16T02:04:48Z</dcterms:modified>
</cp:coreProperties>
</file>