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Times New Roman"/>
          <w:b/>
          <w:bCs/>
          <w:sz w:val="44"/>
          <w:szCs w:val="44"/>
        </w:rPr>
      </w:pPr>
    </w:p>
    <w:p>
      <w:pPr>
        <w:jc w:val="center"/>
        <w:rPr>
          <w:rFonts w:cs="Times New Roman"/>
          <w:b/>
          <w:bCs/>
          <w:sz w:val="44"/>
          <w:szCs w:val="44"/>
        </w:rPr>
      </w:pPr>
    </w:p>
    <w:p>
      <w:pPr>
        <w:jc w:val="center"/>
        <w:rPr>
          <w:rFonts w:cs="Times New Roman"/>
          <w:b/>
          <w:bCs/>
          <w:sz w:val="44"/>
          <w:szCs w:val="44"/>
        </w:rPr>
      </w:pPr>
    </w:p>
    <w:p>
      <w:pPr>
        <w:pStyle w:val="12"/>
      </w:pPr>
    </w:p>
    <w:p>
      <w:pPr>
        <w:pStyle w:val="12"/>
        <w:rPr>
          <w:rFonts w:ascii="黑体" w:hAnsi="黑体" w:eastAsia="黑体"/>
        </w:rPr>
      </w:pPr>
    </w:p>
    <w:p>
      <w:pPr>
        <w:jc w:val="center"/>
        <w:rPr>
          <w:rFonts w:hint="eastAsia" w:ascii="方正小标宋简体" w:hAnsi="黑体" w:eastAsia="方正小标宋简体" w:cs="Times New Roman"/>
          <w:sz w:val="56"/>
          <w:szCs w:val="52"/>
        </w:rPr>
      </w:pPr>
      <w:r>
        <w:rPr>
          <w:rFonts w:hint="eastAsia" w:ascii="方正小标宋简体" w:hAnsi="黑体" w:eastAsia="方正小标宋简体" w:cs="黑体"/>
          <w:sz w:val="56"/>
          <w:szCs w:val="52"/>
        </w:rPr>
        <w:t>“一件事一次办”办事指南</w:t>
      </w:r>
    </w:p>
    <w:p>
      <w:pPr>
        <w:jc w:val="center"/>
        <w:rPr>
          <w:rFonts w:ascii="黑体" w:hAnsi="黑体" w:eastAsia="黑体" w:cs="Times New Roman"/>
          <w:sz w:val="36"/>
          <w:szCs w:val="36"/>
        </w:rPr>
      </w:pPr>
      <w:r>
        <w:rPr>
          <w:rFonts w:hint="eastAsia" w:ascii="黑体" w:hAnsi="黑体" w:eastAsia="黑体" w:cs="宋体"/>
          <w:sz w:val="36"/>
          <w:szCs w:val="36"/>
        </w:rPr>
        <w:t>（</w:t>
      </w:r>
      <w:r>
        <w:rPr>
          <w:rFonts w:hint="eastAsia" w:ascii="黑体" w:hAnsi="黑体" w:eastAsia="黑体" w:cs="宋体"/>
          <w:sz w:val="36"/>
          <w:szCs w:val="36"/>
          <w:lang w:eastAsia="zh-CN"/>
        </w:rPr>
        <w:t>公民身后</w:t>
      </w:r>
      <w:r>
        <w:rPr>
          <w:rFonts w:hint="eastAsia" w:ascii="黑体" w:hAnsi="黑体" w:eastAsia="黑体" w:cs="宋体"/>
          <w:sz w:val="36"/>
          <w:szCs w:val="36"/>
        </w:rPr>
        <w:t>）</w:t>
      </w:r>
    </w:p>
    <w:p>
      <w:pPr>
        <w:jc w:val="center"/>
        <w:rPr>
          <w:rFonts w:ascii="黑体" w:hAnsi="黑体" w:eastAsia="黑体" w:cs="Times New Roman"/>
          <w:bCs/>
          <w:sz w:val="32"/>
          <w:szCs w:val="32"/>
        </w:rPr>
      </w:pPr>
    </w:p>
    <w:p>
      <w:pPr>
        <w:jc w:val="center"/>
        <w:rPr>
          <w:rFonts w:cs="Times New Roman"/>
          <w:b/>
          <w:bCs/>
          <w:sz w:val="32"/>
          <w:szCs w:val="32"/>
        </w:rPr>
      </w:pPr>
    </w:p>
    <w:p>
      <w:pPr>
        <w:jc w:val="center"/>
        <w:rPr>
          <w:rFonts w:cs="Times New Roman"/>
          <w:b/>
          <w:bCs/>
          <w:sz w:val="32"/>
          <w:szCs w:val="32"/>
        </w:rPr>
      </w:pPr>
    </w:p>
    <w:p>
      <w:pPr>
        <w:jc w:val="center"/>
        <w:rPr>
          <w:rFonts w:cs="Times New Roman"/>
          <w:b/>
          <w:bCs/>
          <w:sz w:val="32"/>
          <w:szCs w:val="32"/>
        </w:rPr>
      </w:pPr>
    </w:p>
    <w:p>
      <w:pPr>
        <w:jc w:val="center"/>
        <w:rPr>
          <w:rFonts w:cs="Times New Roman"/>
          <w:b/>
          <w:bCs/>
          <w:sz w:val="32"/>
          <w:szCs w:val="32"/>
        </w:rPr>
      </w:pPr>
    </w:p>
    <w:p>
      <w:pPr>
        <w:jc w:val="center"/>
        <w:rPr>
          <w:rFonts w:cs="Times New Roman"/>
          <w:b/>
          <w:bCs/>
          <w:sz w:val="32"/>
          <w:szCs w:val="32"/>
        </w:rPr>
      </w:pPr>
    </w:p>
    <w:p>
      <w:pPr>
        <w:jc w:val="center"/>
        <w:rPr>
          <w:rFonts w:cs="Times New Roman"/>
          <w:b/>
          <w:bCs/>
          <w:sz w:val="32"/>
          <w:szCs w:val="32"/>
        </w:rPr>
      </w:pPr>
    </w:p>
    <w:p>
      <w:pPr>
        <w:jc w:val="center"/>
        <w:rPr>
          <w:rFonts w:cs="Times New Roman"/>
          <w:b/>
          <w:bCs/>
          <w:sz w:val="32"/>
          <w:szCs w:val="32"/>
        </w:rPr>
      </w:pPr>
    </w:p>
    <w:p>
      <w:pPr>
        <w:jc w:val="center"/>
        <w:rPr>
          <w:rFonts w:ascii="黑体" w:hAnsi="黑体" w:eastAsia="黑体" w:cs="Times New Roman"/>
          <w:sz w:val="32"/>
          <w:szCs w:val="32"/>
        </w:rPr>
      </w:pPr>
    </w:p>
    <w:p>
      <w:pPr>
        <w:pStyle w:val="12"/>
      </w:pPr>
    </w:p>
    <w:p>
      <w:pPr>
        <w:pStyle w:val="12"/>
      </w:pPr>
    </w:p>
    <w:p>
      <w:pPr>
        <w:jc w:val="center"/>
        <w:rPr>
          <w:rFonts w:ascii="黑体" w:hAnsi="黑体" w:eastAsia="黑体" w:cs="Times New Roman"/>
          <w:sz w:val="32"/>
          <w:szCs w:val="32"/>
        </w:rPr>
      </w:pPr>
      <w:r>
        <w:rPr>
          <w:rFonts w:hint="eastAsia" w:ascii="黑体" w:hAnsi="黑体" w:eastAsia="黑体" w:cs="黑体"/>
          <w:sz w:val="32"/>
          <w:szCs w:val="32"/>
        </w:rPr>
        <w:t>2023年</w:t>
      </w:r>
      <w:r>
        <w:rPr>
          <w:rFonts w:ascii="黑体" w:hAnsi="黑体" w:eastAsia="黑体" w:cs="黑体"/>
          <w:sz w:val="32"/>
          <w:szCs w:val="32"/>
        </w:rPr>
        <w:t>4</w:t>
      </w:r>
      <w:r>
        <w:rPr>
          <w:rFonts w:hint="eastAsia" w:ascii="黑体" w:hAnsi="黑体" w:eastAsia="黑体" w:cs="黑体"/>
          <w:sz w:val="32"/>
          <w:szCs w:val="32"/>
        </w:rPr>
        <w:t>月</w:t>
      </w:r>
      <w:r>
        <w:rPr>
          <w:rFonts w:ascii="黑体" w:hAnsi="黑体" w:eastAsia="黑体" w:cs="黑体"/>
          <w:sz w:val="32"/>
          <w:szCs w:val="32"/>
        </w:rPr>
        <w:softHyphen/>
      </w:r>
      <w:r>
        <w:rPr>
          <w:rFonts w:hint="eastAsia" w:ascii="黑体" w:hAnsi="黑体" w:eastAsia="黑体" w:cs="黑体"/>
          <w:sz w:val="32"/>
          <w:szCs w:val="32"/>
        </w:rPr>
        <w:softHyphen/>
      </w:r>
    </w:p>
    <w:p>
      <w:pPr>
        <w:keepNext w:val="0"/>
        <w:keepLines w:val="0"/>
        <w:pageBreakBefore w:val="0"/>
        <w:widowControl/>
        <w:kinsoku/>
        <w:wordWrap/>
        <w:overflowPunct/>
        <w:topLinePunct w:val="0"/>
        <w:autoSpaceDE/>
        <w:autoSpaceDN/>
        <w:bidi w:val="0"/>
        <w:adjustRightInd/>
        <w:snapToGrid/>
        <w:spacing w:line="660" w:lineRule="exact"/>
        <w:jc w:val="center"/>
        <w:textAlignment w:val="auto"/>
        <w:rPr>
          <w:rFonts w:hint="eastAsia" w:ascii="方正小标宋简体" w:hAnsi="黑体" w:eastAsia="方正小标宋简体" w:cs="黑体"/>
          <w:b/>
          <w:bCs/>
          <w:sz w:val="44"/>
          <w:szCs w:val="44"/>
        </w:rPr>
      </w:pPr>
      <w:r>
        <w:rPr>
          <w:rFonts w:ascii="方正小标宋简体" w:eastAsia="方正小标宋简体" w:cs="宋体"/>
          <w:sz w:val="36"/>
          <w:szCs w:val="36"/>
        </w:rPr>
        <w:br w:type="page"/>
      </w:r>
      <w:r>
        <w:rPr>
          <w:rFonts w:hint="eastAsia" w:ascii="方正小标宋简体" w:hAnsi="黑体" w:eastAsia="方正小标宋简体" w:cs="宋体"/>
          <w:sz w:val="44"/>
          <w:szCs w:val="44"/>
        </w:rPr>
        <w:t>“</w:t>
      </w:r>
      <w:r>
        <w:rPr>
          <w:rFonts w:hint="eastAsia" w:ascii="方正小标宋简体" w:hAnsi="方正小标宋简体" w:eastAsia="方正小标宋简体" w:cs="方正小标宋简体"/>
          <w:sz w:val="44"/>
          <w:szCs w:val="44"/>
        </w:rPr>
        <w:t>公民身后</w:t>
      </w:r>
      <w:r>
        <w:rPr>
          <w:rFonts w:ascii="方正小标宋简体" w:hAnsi="方正小标宋简体" w:eastAsia="方正小标宋简体" w:cs="方正小标宋简体"/>
          <w:sz w:val="44"/>
          <w:szCs w:val="44"/>
        </w:rPr>
        <w:t xml:space="preserve"> </w:t>
      </w:r>
      <w:r>
        <w:rPr>
          <w:rFonts w:hint="eastAsia" w:ascii="方正小标宋简体" w:hAnsi="黑体" w:eastAsia="方正小标宋简体" w:cs="宋体"/>
          <w:sz w:val="44"/>
          <w:szCs w:val="44"/>
        </w:rPr>
        <w:t>”一件事</w:t>
      </w:r>
      <w:r>
        <w:rPr>
          <w:rFonts w:hint="eastAsia" w:ascii="方正小标宋简体" w:hAnsi="黑体" w:eastAsia="方正小标宋简体"/>
          <w:sz w:val="44"/>
          <w:szCs w:val="44"/>
        </w:rPr>
        <w:t>办事指南</w:t>
      </w:r>
    </w:p>
    <w:p>
      <w:pPr>
        <w:keepNext w:val="0"/>
        <w:keepLines w:val="0"/>
        <w:pageBreakBefore w:val="0"/>
        <w:widowControl w:val="0"/>
        <w:kinsoku/>
        <w:wordWrap/>
        <w:overflowPunct/>
        <w:topLinePunct w:val="0"/>
        <w:bidi w:val="0"/>
        <w:adjustRightInd w:val="0"/>
        <w:snapToGrid w:val="0"/>
        <w:spacing w:line="560" w:lineRule="exact"/>
        <w:ind w:firstLine="560" w:firstLineChars="200"/>
        <w:textAlignment w:val="auto"/>
        <w:rPr>
          <w:rFonts w:ascii="黑体" w:hAnsi="黑体" w:eastAsia="黑体" w:cs="黑体"/>
          <w:bCs/>
          <w:sz w:val="28"/>
          <w:szCs w:val="28"/>
        </w:rPr>
      </w:pPr>
    </w:p>
    <w:p>
      <w:pPr>
        <w:keepNext w:val="0"/>
        <w:keepLines w:val="0"/>
        <w:pageBreakBefore w:val="0"/>
        <w:widowControl w:val="0"/>
        <w:kinsoku/>
        <w:wordWrap/>
        <w:overflowPunct/>
        <w:topLinePunct w:val="0"/>
        <w:bidi w:val="0"/>
        <w:spacing w:line="560" w:lineRule="exact"/>
        <w:ind w:firstLine="640" w:firstLineChars="200"/>
        <w:textAlignment w:val="auto"/>
        <w:rPr>
          <w:rFonts w:ascii="黑体" w:hAnsi="黑体" w:eastAsia="黑体" w:cs="宋体"/>
          <w:bCs/>
          <w:sz w:val="32"/>
          <w:szCs w:val="24"/>
        </w:rPr>
      </w:pPr>
      <w:r>
        <w:rPr>
          <w:rFonts w:hint="eastAsia" w:ascii="黑体" w:hAnsi="黑体" w:eastAsia="黑体" w:cs="宋体"/>
          <w:bCs/>
          <w:sz w:val="32"/>
          <w:szCs w:val="24"/>
        </w:rPr>
        <w:t>一、主题事项</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宋体" w:eastAsia="仿宋_GB2312" w:cs="宋体"/>
          <w:sz w:val="32"/>
          <w:szCs w:val="24"/>
        </w:rPr>
      </w:pPr>
      <w:r>
        <w:rPr>
          <w:rFonts w:hint="eastAsia" w:ascii="仿宋" w:hAnsi="仿宋" w:eastAsia="仿宋"/>
          <w:sz w:val="32"/>
          <w:szCs w:val="32"/>
        </w:rPr>
        <w:t>公民身后</w:t>
      </w:r>
      <w:r>
        <w:rPr>
          <w:rFonts w:hint="eastAsia" w:ascii="仿宋_GB2312" w:hAnsi="宋体" w:eastAsia="仿宋_GB2312" w:cs="宋体"/>
          <w:sz w:val="32"/>
          <w:szCs w:val="24"/>
        </w:rPr>
        <w:t>。</w:t>
      </w:r>
    </w:p>
    <w:p>
      <w:pPr>
        <w:keepNext w:val="0"/>
        <w:keepLines w:val="0"/>
        <w:pageBreakBefore w:val="0"/>
        <w:widowControl w:val="0"/>
        <w:kinsoku/>
        <w:wordWrap/>
        <w:overflowPunct/>
        <w:topLinePunct w:val="0"/>
        <w:bidi w:val="0"/>
        <w:spacing w:line="560" w:lineRule="exact"/>
        <w:ind w:firstLine="640" w:firstLineChars="200"/>
        <w:textAlignment w:val="auto"/>
        <w:rPr>
          <w:rFonts w:ascii="黑体" w:hAnsi="黑体" w:eastAsia="黑体" w:cs="宋体"/>
          <w:bCs/>
          <w:sz w:val="32"/>
          <w:szCs w:val="24"/>
        </w:rPr>
      </w:pPr>
      <w:r>
        <w:rPr>
          <w:rFonts w:hint="eastAsia" w:ascii="黑体" w:hAnsi="黑体" w:eastAsia="黑体" w:cs="宋体"/>
          <w:bCs/>
          <w:sz w:val="32"/>
          <w:szCs w:val="24"/>
        </w:rPr>
        <w:t>二、适用范围</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 w:hAnsi="仿宋" w:eastAsia="仿宋"/>
          <w:bCs/>
          <w:sz w:val="32"/>
          <w:szCs w:val="32"/>
        </w:rPr>
      </w:pPr>
      <w:r>
        <w:rPr>
          <w:rFonts w:hint="eastAsia" w:ascii="仿宋_GB2312" w:eastAsia="仿宋_GB2312" w:cs="黑体"/>
          <w:sz w:val="32"/>
          <w:szCs w:val="32"/>
          <w:lang w:eastAsia="zh-CN"/>
        </w:rPr>
        <w:t>（一）</w:t>
      </w:r>
      <w:r>
        <w:rPr>
          <w:rFonts w:hint="eastAsia" w:ascii="仿宋" w:hAnsi="仿宋" w:eastAsia="仿宋"/>
          <w:bCs/>
          <w:sz w:val="32"/>
          <w:szCs w:val="32"/>
        </w:rPr>
        <w:t>办理公民身后“一件事一次办”应具备以下条件：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bCs/>
          <w:sz w:val="32"/>
          <w:szCs w:val="32"/>
        </w:rPr>
      </w:pPr>
      <w:r>
        <w:rPr>
          <w:rFonts w:hint="eastAsia" w:ascii="仿宋" w:hAnsi="仿宋" w:eastAsia="仿宋"/>
          <w:bCs/>
          <w:sz w:val="32"/>
          <w:szCs w:val="32"/>
        </w:rPr>
        <w:t>1.在河北省境内死亡，具有省内户籍；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bCs/>
          <w:sz w:val="32"/>
          <w:szCs w:val="32"/>
        </w:rPr>
      </w:pPr>
      <w:r>
        <w:rPr>
          <w:rFonts w:hint="eastAsia" w:ascii="仿宋" w:hAnsi="仿宋" w:eastAsia="仿宋"/>
          <w:bCs/>
          <w:sz w:val="32"/>
          <w:szCs w:val="32"/>
        </w:rPr>
        <w:t>2.死者为省内参加企业养老保险以及职工基本医疗保险的企业职工或灵活就业人员；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bCs/>
          <w:sz w:val="32"/>
          <w:szCs w:val="32"/>
        </w:rPr>
      </w:pPr>
      <w:r>
        <w:rPr>
          <w:rFonts w:hint="eastAsia" w:ascii="仿宋" w:hAnsi="仿宋" w:eastAsia="仿宋"/>
          <w:bCs/>
          <w:sz w:val="32"/>
          <w:szCs w:val="32"/>
        </w:rPr>
        <w:t>3.在省内已足额缴纳住房公积金，公证部门对该继承权进行公证，并指定其中一个继承人为代办人；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bCs/>
          <w:sz w:val="32"/>
          <w:szCs w:val="32"/>
        </w:rPr>
      </w:pPr>
      <w:r>
        <w:rPr>
          <w:rFonts w:hint="eastAsia" w:ascii="仿宋" w:hAnsi="仿宋" w:eastAsia="仿宋"/>
          <w:bCs/>
          <w:sz w:val="32"/>
          <w:szCs w:val="32"/>
        </w:rPr>
        <w:t>4.具有河北省公安交通管理部门核发的机动车驾驶证。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ascii="楷体_GB2312" w:hAnsi="楷体_GB2312" w:eastAsia="楷体_GB2312" w:cs="楷体_GB2312"/>
          <w:bCs/>
          <w:sz w:val="32"/>
          <w:szCs w:val="32"/>
        </w:rPr>
      </w:pPr>
      <w:r>
        <w:rPr>
          <w:rFonts w:hint="eastAsia" w:ascii="楷体_GB2312" w:hAnsi="楷体_GB2312" w:eastAsia="楷体_GB2312" w:cs="楷体_GB2312"/>
          <w:bCs/>
          <w:sz w:val="32"/>
          <w:szCs w:val="32"/>
        </w:rPr>
        <w:t>（二）办理情形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ascii="楷体_GB2312" w:hAnsi="楷体_GB2312" w:eastAsia="楷体_GB2312" w:cs="楷体_GB2312"/>
          <w:bCs/>
          <w:sz w:val="32"/>
          <w:szCs w:val="32"/>
        </w:rPr>
      </w:pPr>
      <w:r>
        <w:rPr>
          <w:rFonts w:hint="eastAsia" w:ascii="仿宋" w:hAnsi="仿宋" w:eastAsia="仿宋"/>
          <w:bCs/>
          <w:sz w:val="32"/>
          <w:szCs w:val="32"/>
        </w:rPr>
        <w:t>公民身后“一件事一次办”办理情形包括：正常死亡和非正常死亡情形（法院宣告死亡和司法机关依法执行死刑的除外）。</w:t>
      </w:r>
    </w:p>
    <w:p>
      <w:pPr>
        <w:keepNext w:val="0"/>
        <w:keepLines w:val="0"/>
        <w:pageBreakBefore w:val="0"/>
        <w:widowControl w:val="0"/>
        <w:kinsoku/>
        <w:wordWrap/>
        <w:overflowPunct/>
        <w:topLinePunct w:val="0"/>
        <w:bidi w:val="0"/>
        <w:spacing w:line="560" w:lineRule="exact"/>
        <w:ind w:firstLine="640" w:firstLineChars="200"/>
        <w:textAlignment w:val="auto"/>
        <w:rPr>
          <w:rFonts w:ascii="黑体" w:hAnsi="黑体" w:eastAsia="黑体" w:cs="宋体"/>
          <w:bCs/>
          <w:sz w:val="32"/>
          <w:szCs w:val="24"/>
        </w:rPr>
      </w:pPr>
      <w:r>
        <w:rPr>
          <w:rFonts w:hint="eastAsia" w:ascii="黑体" w:hAnsi="黑体" w:eastAsia="黑体" w:cs="宋体"/>
          <w:bCs/>
          <w:sz w:val="32"/>
          <w:szCs w:val="24"/>
        </w:rPr>
        <w:t>三、涉及事项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黑体" w:eastAsia="仿宋_GB2312" w:cs="黑体"/>
          <w:sz w:val="32"/>
          <w:szCs w:val="32"/>
          <w:lang w:eastAsia="zh-CN"/>
        </w:rPr>
      </w:pPr>
      <w:r>
        <w:rPr>
          <w:rFonts w:hint="eastAsia" w:ascii="仿宋_GB2312" w:hAnsi="宋体" w:eastAsia="仿宋_GB2312" w:cs="宋体"/>
          <w:sz w:val="32"/>
          <w:szCs w:val="24"/>
        </w:rPr>
        <w:t>1.</w:t>
      </w:r>
      <w:r>
        <w:rPr>
          <w:rFonts w:hint="eastAsia" w:ascii="仿宋" w:hAnsi="仿宋" w:eastAsia="仿宋"/>
          <w:sz w:val="32"/>
          <w:szCs w:val="32"/>
        </w:rPr>
        <w:t>出具死亡证明书（正常死亡、非正常死亡）</w:t>
      </w:r>
      <w:r>
        <w:rPr>
          <w:rFonts w:hint="eastAsia" w:ascii="仿宋_GB2312" w:hAnsi="黑体" w:eastAsia="仿宋_GB2312" w:cs="黑体"/>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宋体" w:eastAsia="仿宋_GB2312" w:cs="宋体"/>
          <w:sz w:val="32"/>
          <w:szCs w:val="24"/>
        </w:rPr>
      </w:pPr>
      <w:r>
        <w:rPr>
          <w:rFonts w:hint="eastAsia" w:ascii="仿宋_GB2312" w:hAnsi="黑体" w:eastAsia="仿宋_GB2312" w:cs="黑体"/>
          <w:sz w:val="32"/>
          <w:szCs w:val="32"/>
          <w:lang w:val="en-US" w:eastAsia="zh-CN"/>
        </w:rPr>
        <w:t>2.</w:t>
      </w:r>
      <w:r>
        <w:rPr>
          <w:rFonts w:hint="eastAsia" w:ascii="仿宋" w:hAnsi="仿宋" w:eastAsia="仿宋"/>
          <w:sz w:val="32"/>
          <w:szCs w:val="32"/>
        </w:rPr>
        <w:t>出具火化证明</w:t>
      </w:r>
      <w:r>
        <w:rPr>
          <w:rFonts w:hint="eastAsia" w:ascii="仿宋_GB2312" w:hAnsi="宋体" w:eastAsia="仿宋_GB2312" w:cs="宋体"/>
          <w:sz w:val="32"/>
          <w:szCs w:val="24"/>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 w:cs="宋体"/>
          <w:sz w:val="32"/>
          <w:szCs w:val="24"/>
          <w:lang w:val="en-US" w:eastAsia="zh-CN"/>
        </w:rPr>
      </w:pPr>
      <w:r>
        <w:rPr>
          <w:rFonts w:hint="eastAsia" w:ascii="仿宋_GB2312" w:hAnsi="宋体" w:eastAsia="仿宋_GB2312" w:cs="宋体"/>
          <w:sz w:val="32"/>
          <w:szCs w:val="24"/>
          <w:lang w:val="en-US" w:eastAsia="zh-CN"/>
        </w:rPr>
        <w:t>3</w:t>
      </w:r>
      <w:r>
        <w:rPr>
          <w:rFonts w:hint="eastAsia" w:ascii="仿宋_GB2312" w:hAnsi="宋体" w:eastAsia="仿宋_GB2312" w:cs="宋体"/>
          <w:sz w:val="32"/>
          <w:szCs w:val="24"/>
        </w:rPr>
        <w:t>.</w:t>
      </w:r>
      <w:r>
        <w:rPr>
          <w:rFonts w:hint="eastAsia" w:ascii="仿宋" w:hAnsi="仿宋" w:eastAsia="仿宋"/>
          <w:sz w:val="32"/>
          <w:szCs w:val="32"/>
        </w:rPr>
        <w:t>参保人员个人账户一次性支取</w:t>
      </w:r>
      <w:r>
        <w:rPr>
          <w:rFonts w:hint="eastAsia" w:ascii="仿宋" w:hAnsi="仿宋" w:eastAsia="仿宋"/>
          <w:sz w:val="32"/>
          <w:szCs w:val="32"/>
          <w:lang w:eastAsia="zh-CN"/>
        </w:rPr>
        <w:t>；</w:t>
      </w:r>
    </w:p>
    <w:p>
      <w:pPr>
        <w:pStyle w:val="1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sz w:val="32"/>
          <w:szCs w:val="32"/>
          <w:lang w:eastAsia="zh-CN"/>
        </w:rPr>
      </w:pPr>
      <w:r>
        <w:rPr>
          <w:rFonts w:hint="eastAsia" w:ascii="仿宋_GB2312" w:hAnsi="宋体" w:eastAsia="仿宋_GB2312" w:cs="宋体"/>
          <w:sz w:val="32"/>
          <w:szCs w:val="24"/>
          <w:lang w:val="en-US" w:eastAsia="zh-CN"/>
        </w:rPr>
        <w:t>4</w:t>
      </w:r>
      <w:r>
        <w:rPr>
          <w:rFonts w:hint="eastAsia" w:ascii="仿宋_GB2312" w:hAnsi="宋体" w:eastAsia="仿宋_GB2312" w:cs="宋体"/>
          <w:sz w:val="32"/>
          <w:szCs w:val="24"/>
        </w:rPr>
        <w:t>.</w:t>
      </w:r>
      <w:r>
        <w:rPr>
          <w:rFonts w:hint="eastAsia" w:ascii="仿宋" w:hAnsi="仿宋" w:eastAsia="仿宋"/>
          <w:sz w:val="32"/>
          <w:szCs w:val="32"/>
        </w:rPr>
        <w:t>个人账户一次性待遇申领</w:t>
      </w:r>
      <w:r>
        <w:rPr>
          <w:rFonts w:hint="eastAsia" w:ascii="仿宋" w:hAnsi="仿宋" w:eastAsia="仿宋"/>
          <w:sz w:val="32"/>
          <w:szCs w:val="32"/>
          <w:lang w:eastAsia="zh-CN"/>
        </w:rPr>
        <w:t>；</w:t>
      </w:r>
    </w:p>
    <w:p>
      <w:pPr>
        <w:pStyle w:val="1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val="en-US" w:eastAsia="zh-CN"/>
        </w:rPr>
        <w:t>5.</w:t>
      </w:r>
      <w:r>
        <w:rPr>
          <w:rFonts w:hint="eastAsia" w:ascii="仿宋" w:hAnsi="仿宋" w:eastAsia="仿宋"/>
          <w:sz w:val="32"/>
          <w:szCs w:val="32"/>
        </w:rPr>
        <w:t>遗属待遇申领</w:t>
      </w:r>
      <w:r>
        <w:rPr>
          <w:rFonts w:hint="eastAsia" w:ascii="仿宋" w:hAnsi="仿宋" w:eastAsia="仿宋"/>
          <w:sz w:val="32"/>
          <w:szCs w:val="32"/>
          <w:lang w:eastAsia="zh-CN"/>
        </w:rPr>
        <w:t>；</w:t>
      </w:r>
    </w:p>
    <w:p>
      <w:pPr>
        <w:pStyle w:val="1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val="en-US" w:eastAsia="zh-CN"/>
        </w:rPr>
        <w:t>6.</w:t>
      </w:r>
      <w:r>
        <w:rPr>
          <w:rFonts w:hint="eastAsia" w:ascii="仿宋" w:hAnsi="仿宋" w:eastAsia="仿宋"/>
          <w:sz w:val="32"/>
          <w:szCs w:val="32"/>
        </w:rPr>
        <w:t>办理死亡户口注销</w:t>
      </w:r>
      <w:r>
        <w:rPr>
          <w:rFonts w:hint="eastAsia" w:ascii="仿宋" w:hAnsi="仿宋" w:eastAsia="仿宋"/>
          <w:sz w:val="32"/>
          <w:szCs w:val="32"/>
          <w:lang w:eastAsia="zh-CN"/>
        </w:rPr>
        <w:t>；</w:t>
      </w:r>
    </w:p>
    <w:p>
      <w:pPr>
        <w:pStyle w:val="1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val="en-US" w:eastAsia="zh-CN"/>
        </w:rPr>
        <w:t>7.</w:t>
      </w:r>
      <w:r>
        <w:rPr>
          <w:rFonts w:hint="eastAsia" w:ascii="仿宋" w:hAnsi="仿宋" w:eastAsia="仿宋"/>
          <w:sz w:val="32"/>
          <w:szCs w:val="32"/>
        </w:rPr>
        <w:t>注销驾驶证</w:t>
      </w:r>
      <w:r>
        <w:rPr>
          <w:rFonts w:hint="eastAsia" w:ascii="仿宋" w:hAnsi="仿宋" w:eastAsia="仿宋"/>
          <w:sz w:val="32"/>
          <w:szCs w:val="32"/>
          <w:lang w:eastAsia="zh-CN"/>
        </w:rPr>
        <w:t>；</w:t>
      </w:r>
    </w:p>
    <w:p>
      <w:pPr>
        <w:pStyle w:val="1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仿宋" w:hAnsi="仿宋" w:eastAsia="仿宋"/>
          <w:sz w:val="32"/>
          <w:szCs w:val="32"/>
          <w:lang w:val="en-US" w:eastAsia="zh-CN"/>
        </w:rPr>
      </w:pPr>
      <w:r>
        <w:rPr>
          <w:rFonts w:hint="eastAsia" w:ascii="仿宋" w:hAnsi="仿宋" w:eastAsia="仿宋"/>
          <w:sz w:val="32"/>
          <w:szCs w:val="32"/>
          <w:lang w:val="en-US" w:eastAsia="zh-CN"/>
        </w:rPr>
        <w:t>8.</w:t>
      </w:r>
      <w:r>
        <w:rPr>
          <w:rFonts w:hint="eastAsia" w:ascii="仿宋" w:hAnsi="仿宋" w:eastAsia="仿宋"/>
          <w:sz w:val="32"/>
          <w:szCs w:val="32"/>
        </w:rPr>
        <w:t>住房公积金提取</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宋体"/>
          <w:bCs/>
          <w:sz w:val="32"/>
          <w:szCs w:val="24"/>
        </w:rPr>
      </w:pPr>
      <w:r>
        <w:rPr>
          <w:rFonts w:hint="eastAsia" w:ascii="黑体" w:hAnsi="黑体" w:eastAsia="黑体" w:cs="宋体"/>
          <w:bCs/>
          <w:sz w:val="32"/>
          <w:szCs w:val="24"/>
        </w:rPr>
        <w:t>四、办理层级</w:t>
      </w:r>
    </w:p>
    <w:p>
      <w:pPr>
        <w:keepNext w:val="0"/>
        <w:keepLines w:val="0"/>
        <w:pageBreakBefore w:val="0"/>
        <w:widowControl w:val="0"/>
        <w:kinsoku/>
        <w:wordWrap/>
        <w:overflowPunct/>
        <w:topLinePunct w:val="0"/>
        <w:bidi w:val="0"/>
        <w:spacing w:line="560" w:lineRule="exact"/>
        <w:ind w:firstLine="640" w:firstLineChars="200"/>
        <w:textAlignment w:val="auto"/>
        <w:outlineLvl w:val="1"/>
        <w:rPr>
          <w:rFonts w:ascii="仿宋_GB2312" w:hAnsi="宋体" w:eastAsia="仿宋_GB2312" w:cs="宋体"/>
          <w:sz w:val="32"/>
          <w:szCs w:val="24"/>
        </w:rPr>
      </w:pPr>
      <w:r>
        <w:rPr>
          <w:rFonts w:hint="eastAsia" w:ascii="仿宋" w:hAnsi="仿宋" w:eastAsia="仿宋"/>
          <w:bCs/>
          <w:sz w:val="32"/>
          <w:szCs w:val="32"/>
        </w:rPr>
        <w:t>省级、市级、县级、乡镇（街道）</w:t>
      </w:r>
      <w:r>
        <w:rPr>
          <w:rFonts w:hint="eastAsia"/>
          <w:sz w:val="32"/>
          <w:szCs w:val="28"/>
        </w:rPr>
        <w:t>。</w:t>
      </w:r>
    </w:p>
    <w:p>
      <w:pPr>
        <w:keepNext w:val="0"/>
        <w:keepLines w:val="0"/>
        <w:pageBreakBefore w:val="0"/>
        <w:widowControl w:val="0"/>
        <w:kinsoku/>
        <w:wordWrap/>
        <w:overflowPunct/>
        <w:topLinePunct w:val="0"/>
        <w:bidi w:val="0"/>
        <w:spacing w:line="560" w:lineRule="exact"/>
        <w:ind w:firstLine="640" w:firstLineChars="200"/>
        <w:textAlignment w:val="auto"/>
        <w:rPr>
          <w:rFonts w:ascii="黑体" w:hAnsi="黑体" w:eastAsia="黑体" w:cs="宋体"/>
          <w:bCs/>
          <w:sz w:val="32"/>
          <w:szCs w:val="24"/>
        </w:rPr>
      </w:pPr>
      <w:r>
        <w:rPr>
          <w:rFonts w:hint="eastAsia" w:ascii="黑体" w:hAnsi="黑体" w:eastAsia="黑体" w:cs="宋体"/>
          <w:bCs/>
          <w:sz w:val="32"/>
          <w:szCs w:val="24"/>
        </w:rPr>
        <w:t>五、实施依据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宋体" w:eastAsia="仿宋_GB2312" w:cs="宋体"/>
          <w:sz w:val="32"/>
          <w:szCs w:val="24"/>
        </w:rPr>
      </w:pPr>
      <w:r>
        <w:rPr>
          <w:rFonts w:hint="eastAsia" w:ascii="仿宋_GB2312" w:hAnsi="宋体" w:eastAsia="仿宋_GB2312" w:cs="宋体"/>
          <w:sz w:val="32"/>
          <w:szCs w:val="24"/>
        </w:rPr>
        <w:t>1.</w:t>
      </w:r>
      <w:r>
        <w:rPr>
          <w:rFonts w:hint="eastAsia" w:ascii="仿宋_GB2312" w:eastAsia="仿宋_GB2312" w:cs="仿宋_GB2312"/>
          <w:color w:val="000000"/>
          <w:sz w:val="32"/>
          <w:szCs w:val="32"/>
        </w:rPr>
        <w:t>《河北省殡葬管理办法》（河北省人民政府令2011年第17号）</w:t>
      </w:r>
      <w:r>
        <w:rPr>
          <w:rFonts w:hint="eastAsia" w:ascii="仿宋_GB2312" w:hAnsi="宋体" w:eastAsia="仿宋_GB2312" w:cs="宋体"/>
          <w:sz w:val="32"/>
          <w:szCs w:val="24"/>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24"/>
          <w:lang w:eastAsia="zh-CN"/>
        </w:rPr>
      </w:pPr>
      <w:r>
        <w:rPr>
          <w:rFonts w:hint="eastAsia" w:ascii="仿宋_GB2312" w:hAnsi="宋体" w:eastAsia="仿宋_GB2312" w:cs="宋体"/>
          <w:sz w:val="32"/>
          <w:szCs w:val="24"/>
        </w:rPr>
        <w:t>2.《中华人民共和国社会保险法》（主席令第35号）第七十四条</w:t>
      </w:r>
      <w:r>
        <w:rPr>
          <w:rFonts w:hint="eastAsia" w:ascii="仿宋_GB2312" w:hAnsi="宋体" w:eastAsia="仿宋_GB2312" w:cs="宋体"/>
          <w:sz w:val="32"/>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24"/>
          <w:lang w:eastAsia="zh-CN"/>
        </w:rPr>
      </w:pPr>
      <w:r>
        <w:rPr>
          <w:rFonts w:hint="eastAsia" w:ascii="仿宋_GB2312" w:hAnsi="宋体" w:eastAsia="仿宋_GB2312" w:cs="宋体"/>
          <w:sz w:val="32"/>
          <w:szCs w:val="24"/>
          <w:lang w:val="en-US" w:eastAsia="zh-CN"/>
        </w:rPr>
        <w:t>3.</w:t>
      </w:r>
      <w:r>
        <w:rPr>
          <w:rFonts w:hint="eastAsia" w:ascii="仿宋_GB2312" w:hAnsi="宋体" w:eastAsia="仿宋_GB2312" w:cs="宋体"/>
          <w:sz w:val="32"/>
          <w:szCs w:val="24"/>
        </w:rPr>
        <w:t>《社会保险费征缴暂行条例》（国务院令第259号）第十六条</w:t>
      </w:r>
      <w:r>
        <w:rPr>
          <w:rFonts w:hint="eastAsia" w:ascii="仿宋_GB2312" w:hAnsi="宋体" w:eastAsia="仿宋_GB2312" w:cs="宋体"/>
          <w:sz w:val="32"/>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24"/>
          <w:lang w:eastAsia="zh-CN"/>
        </w:rPr>
      </w:pPr>
      <w:r>
        <w:rPr>
          <w:rFonts w:hint="eastAsia" w:ascii="仿宋_GB2312" w:hAnsi="宋体" w:eastAsia="仿宋_GB2312" w:cs="宋体"/>
          <w:sz w:val="32"/>
          <w:szCs w:val="24"/>
          <w:lang w:val="en-US" w:eastAsia="zh-CN"/>
        </w:rPr>
        <w:t>4.</w:t>
      </w:r>
      <w:r>
        <w:rPr>
          <w:rFonts w:hint="eastAsia" w:ascii="仿宋_GB2312" w:hAnsi="宋体" w:eastAsia="仿宋_GB2312" w:cs="宋体"/>
          <w:sz w:val="32"/>
          <w:szCs w:val="24"/>
        </w:rPr>
        <w:t>《中华人民共和国社会保险法》（中华人民共和国主席令第35号）第十四条</w:t>
      </w:r>
      <w:r>
        <w:rPr>
          <w:rFonts w:hint="eastAsia" w:ascii="仿宋_GB2312" w:hAnsi="宋体" w:eastAsia="仿宋_GB2312" w:cs="宋体"/>
          <w:sz w:val="32"/>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24"/>
          <w:lang w:val="en-US" w:eastAsia="zh-CN"/>
        </w:rPr>
      </w:pPr>
      <w:r>
        <w:rPr>
          <w:rFonts w:hint="eastAsia" w:ascii="仿宋_GB2312" w:hAnsi="宋体" w:eastAsia="仿宋_GB2312" w:cs="宋体"/>
          <w:sz w:val="32"/>
          <w:szCs w:val="24"/>
          <w:lang w:val="en-US" w:eastAsia="zh-CN"/>
        </w:rPr>
        <w:t>5.《中华人民共和国户口登记条例》第八条、十一条；</w:t>
      </w:r>
    </w:p>
    <w:p>
      <w:pPr>
        <w:pStyle w:val="2"/>
        <w:keepNext w:val="0"/>
        <w:keepLines w:val="0"/>
        <w:pageBreakBefore w:val="0"/>
        <w:widowControl w:val="0"/>
        <w:kinsoku/>
        <w:wordWrap/>
        <w:overflowPunct/>
        <w:topLinePunct w:val="0"/>
        <w:bidi w:val="0"/>
        <w:spacing w:line="560" w:lineRule="exact"/>
        <w:textAlignment w:val="auto"/>
        <w:rPr>
          <w:rFonts w:hint="default"/>
          <w:lang w:val="en-US" w:eastAsia="zh-CN"/>
        </w:rPr>
      </w:pPr>
      <w:r>
        <w:rPr>
          <w:rFonts w:hint="eastAsia" w:hAnsi="宋体" w:cs="宋体"/>
          <w:sz w:val="32"/>
          <w:szCs w:val="24"/>
          <w:lang w:val="en-US" w:eastAsia="zh-CN"/>
        </w:rPr>
        <w:t>6.《河北省住房公积金管理办法》第三十条。</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黑体" w:hAnsi="黑体" w:eastAsia="黑体" w:cs="宋体"/>
          <w:bCs/>
          <w:sz w:val="32"/>
          <w:szCs w:val="24"/>
        </w:rPr>
      </w:pPr>
      <w:r>
        <w:rPr>
          <w:rFonts w:ascii="黑体" w:hAnsi="黑体" w:eastAsia="黑体" w:cs="宋体"/>
          <w:bCs/>
          <w:sz w:val="32"/>
          <w:szCs w:val="24"/>
        </w:rPr>
        <w:t>六、申报材料</w:t>
      </w:r>
    </w:p>
    <w:p>
      <w:pPr>
        <w:spacing w:line="600" w:lineRule="exact"/>
        <w:ind w:firstLine="2240" w:firstLineChars="700"/>
        <w:outlineLvl w:val="2"/>
        <w:rPr>
          <w:rFonts w:hint="eastAsia" w:ascii="仿宋" w:hAnsi="仿宋" w:eastAsia="仿宋"/>
          <w:sz w:val="32"/>
          <w:szCs w:val="32"/>
        </w:rPr>
      </w:pPr>
      <w:r>
        <w:rPr>
          <w:rFonts w:hint="eastAsia" w:ascii="仿宋" w:hAnsi="仿宋" w:eastAsia="仿宋"/>
          <w:sz w:val="32"/>
          <w:szCs w:val="32"/>
        </w:rPr>
        <w:t>公民身后一套申报材料</w:t>
      </w:r>
    </w:p>
    <w:tbl>
      <w:tblPr>
        <w:tblStyle w:val="13"/>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3043"/>
        <w:gridCol w:w="1363"/>
        <w:gridCol w:w="1194"/>
        <w:gridCol w:w="2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noWrap/>
            <w:vAlign w:val="center"/>
          </w:tcPr>
          <w:p>
            <w:pPr>
              <w:jc w:val="center"/>
              <w:outlineLvl w:val="2"/>
              <w:rPr>
                <w:rFonts w:ascii="仿宋" w:hAnsi="仿宋" w:eastAsia="仿宋" w:cs="Times New Roman"/>
                <w:b/>
                <w:bCs/>
                <w:sz w:val="24"/>
              </w:rPr>
            </w:pPr>
            <w:r>
              <w:rPr>
                <w:rFonts w:ascii="仿宋" w:hAnsi="仿宋" w:eastAsia="仿宋" w:cs="Times New Roman"/>
                <w:b/>
                <w:bCs/>
                <w:sz w:val="24"/>
              </w:rPr>
              <w:t>事项名称</w:t>
            </w:r>
          </w:p>
        </w:tc>
        <w:tc>
          <w:tcPr>
            <w:tcW w:w="3043" w:type="dxa"/>
            <w:noWrap/>
            <w:vAlign w:val="center"/>
          </w:tcPr>
          <w:p>
            <w:pPr>
              <w:jc w:val="center"/>
              <w:outlineLvl w:val="2"/>
              <w:rPr>
                <w:rFonts w:ascii="仿宋" w:hAnsi="仿宋" w:eastAsia="仿宋" w:cs="Times New Roman"/>
                <w:b/>
                <w:bCs/>
                <w:sz w:val="24"/>
              </w:rPr>
            </w:pPr>
            <w:r>
              <w:rPr>
                <w:rFonts w:ascii="仿宋" w:hAnsi="仿宋" w:eastAsia="仿宋" w:cs="Times New Roman"/>
                <w:b/>
                <w:bCs/>
                <w:sz w:val="24"/>
              </w:rPr>
              <w:t>材料名称</w:t>
            </w:r>
          </w:p>
        </w:tc>
        <w:tc>
          <w:tcPr>
            <w:tcW w:w="1363" w:type="dxa"/>
            <w:noWrap/>
            <w:vAlign w:val="center"/>
          </w:tcPr>
          <w:p>
            <w:pPr>
              <w:jc w:val="center"/>
              <w:outlineLvl w:val="2"/>
              <w:rPr>
                <w:rFonts w:ascii="仿宋" w:hAnsi="仿宋" w:eastAsia="仿宋" w:cs="Times New Roman"/>
                <w:b/>
                <w:bCs/>
                <w:sz w:val="24"/>
              </w:rPr>
            </w:pPr>
            <w:r>
              <w:rPr>
                <w:rFonts w:ascii="仿宋" w:hAnsi="仿宋" w:eastAsia="仿宋" w:cs="Times New Roman"/>
                <w:b/>
                <w:bCs/>
                <w:sz w:val="24"/>
              </w:rPr>
              <w:t>材料类型</w:t>
            </w:r>
          </w:p>
        </w:tc>
        <w:tc>
          <w:tcPr>
            <w:tcW w:w="1194" w:type="dxa"/>
            <w:noWrap/>
            <w:vAlign w:val="center"/>
          </w:tcPr>
          <w:p>
            <w:pPr>
              <w:jc w:val="center"/>
              <w:outlineLvl w:val="2"/>
              <w:rPr>
                <w:rFonts w:ascii="仿宋" w:hAnsi="仿宋" w:eastAsia="仿宋" w:cs="Times New Roman"/>
                <w:b/>
                <w:bCs/>
                <w:sz w:val="24"/>
              </w:rPr>
            </w:pPr>
            <w:r>
              <w:rPr>
                <w:rFonts w:ascii="仿宋" w:hAnsi="仿宋" w:eastAsia="仿宋" w:cs="Times New Roman"/>
                <w:b/>
                <w:bCs/>
                <w:sz w:val="24"/>
              </w:rPr>
              <w:t>材料数量</w:t>
            </w:r>
          </w:p>
        </w:tc>
        <w:tc>
          <w:tcPr>
            <w:tcW w:w="2269" w:type="dxa"/>
            <w:noWrap/>
            <w:vAlign w:val="center"/>
          </w:tcPr>
          <w:p>
            <w:pPr>
              <w:jc w:val="center"/>
              <w:outlineLvl w:val="2"/>
              <w:rPr>
                <w:rFonts w:ascii="仿宋" w:hAnsi="仿宋" w:eastAsia="仿宋" w:cs="Times New Roman"/>
                <w:b/>
                <w:bCs/>
                <w:sz w:val="24"/>
              </w:rPr>
            </w:pPr>
            <w:r>
              <w:rPr>
                <w:rFonts w:ascii="仿宋" w:hAnsi="仿宋" w:eastAsia="仿宋" w:cs="Times New Roman"/>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restart"/>
            <w:noWrap w:val="0"/>
            <w:vAlign w:val="center"/>
          </w:tcPr>
          <w:p>
            <w:pPr>
              <w:outlineLvl w:val="2"/>
              <w:rPr>
                <w:rFonts w:ascii="仿宋" w:hAnsi="仿宋" w:eastAsia="仿宋" w:cs="Times New Roman"/>
                <w:sz w:val="24"/>
              </w:rPr>
            </w:pPr>
            <w:r>
              <w:rPr>
                <w:rFonts w:ascii="仿宋" w:hAnsi="仿宋" w:eastAsia="仿宋" w:cs="Times New Roman"/>
                <w:sz w:val="24"/>
              </w:rPr>
              <w:t>公民身后</w:t>
            </w:r>
          </w:p>
        </w:tc>
        <w:tc>
          <w:tcPr>
            <w:tcW w:w="304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死亡人员身份证明</w:t>
            </w:r>
          </w:p>
        </w:tc>
        <w:tc>
          <w:tcPr>
            <w:tcW w:w="136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原件</w:t>
            </w:r>
          </w:p>
        </w:tc>
        <w:tc>
          <w:tcPr>
            <w:tcW w:w="1194"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1份</w:t>
            </w:r>
          </w:p>
        </w:tc>
        <w:tc>
          <w:tcPr>
            <w:tcW w:w="2269"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身份证或户口簿等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死亡注销户口申请表</w:t>
            </w:r>
          </w:p>
        </w:tc>
        <w:tc>
          <w:tcPr>
            <w:tcW w:w="136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电子版</w:t>
            </w:r>
          </w:p>
        </w:tc>
        <w:tc>
          <w:tcPr>
            <w:tcW w:w="1194"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1份</w:t>
            </w:r>
          </w:p>
        </w:tc>
        <w:tc>
          <w:tcPr>
            <w:tcW w:w="2269" w:type="dxa"/>
            <w:noWrap w:val="0"/>
            <w:vAlign w:val="center"/>
          </w:tcPr>
          <w:p>
            <w:pPr>
              <w:rPr>
                <w:rFonts w:ascii="仿宋" w:hAnsi="仿宋" w:eastAsia="仿宋"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ascii="仿宋" w:hAnsi="仿宋" w:eastAsia="仿宋" w:cs="仿宋"/>
                <w:kern w:val="0"/>
                <w:sz w:val="24"/>
                <w:lang w:bidi="ar"/>
              </w:rPr>
            </w:pPr>
            <w:r>
              <w:rPr>
                <w:rFonts w:ascii="仿宋" w:hAnsi="仿宋" w:eastAsia="仿宋" w:cs="仿宋"/>
                <w:kern w:val="0"/>
                <w:sz w:val="24"/>
                <w:lang w:bidi="ar"/>
              </w:rPr>
              <w:t>公安部门调查或检验鉴定结果</w:t>
            </w:r>
          </w:p>
        </w:tc>
        <w:tc>
          <w:tcPr>
            <w:tcW w:w="1363" w:type="dxa"/>
            <w:noWrap w:val="0"/>
            <w:vAlign w:val="center"/>
          </w:tcPr>
          <w:p>
            <w:pPr>
              <w:widowControl/>
              <w:textAlignment w:val="center"/>
              <w:rPr>
                <w:rFonts w:ascii="仿宋" w:hAnsi="仿宋" w:eastAsia="仿宋" w:cs="仿宋"/>
                <w:kern w:val="0"/>
                <w:sz w:val="24"/>
                <w:lang w:bidi="ar"/>
              </w:rPr>
            </w:pPr>
            <w:r>
              <w:rPr>
                <w:rFonts w:ascii="仿宋" w:hAnsi="仿宋" w:eastAsia="仿宋" w:cs="仿宋"/>
                <w:kern w:val="0"/>
                <w:sz w:val="24"/>
                <w:lang w:bidi="ar"/>
              </w:rPr>
              <w:t>原件</w:t>
            </w:r>
          </w:p>
        </w:tc>
        <w:tc>
          <w:tcPr>
            <w:tcW w:w="1194" w:type="dxa"/>
            <w:noWrap w:val="0"/>
            <w:vAlign w:val="center"/>
          </w:tcPr>
          <w:p>
            <w:pPr>
              <w:widowControl/>
              <w:textAlignment w:val="center"/>
              <w:rPr>
                <w:rFonts w:ascii="仿宋" w:hAnsi="仿宋" w:eastAsia="仿宋" w:cs="仿宋"/>
                <w:kern w:val="0"/>
                <w:sz w:val="24"/>
                <w:lang w:bidi="ar"/>
              </w:rPr>
            </w:pPr>
            <w:r>
              <w:rPr>
                <w:rFonts w:ascii="仿宋" w:hAnsi="仿宋" w:eastAsia="仿宋" w:cs="仿宋"/>
                <w:kern w:val="0"/>
                <w:sz w:val="24"/>
                <w:lang w:bidi="ar"/>
              </w:rPr>
              <w:t>1份</w:t>
            </w:r>
          </w:p>
        </w:tc>
        <w:tc>
          <w:tcPr>
            <w:tcW w:w="2269" w:type="dxa"/>
            <w:noWrap w:val="0"/>
            <w:vAlign w:val="center"/>
          </w:tcPr>
          <w:p>
            <w:pPr>
              <w:rPr>
                <w:rFonts w:ascii="仿宋" w:hAnsi="仿宋" w:eastAsia="仿宋" w:cs="Times New Roman"/>
                <w:sz w:val="24"/>
              </w:rPr>
            </w:pPr>
            <w:r>
              <w:rPr>
                <w:rFonts w:ascii="仿宋" w:hAnsi="仿宋" w:eastAsia="仿宋" w:cs="仿宋"/>
                <w:kern w:val="0"/>
                <w:sz w:val="24"/>
                <w:lang w:bidi="ar"/>
              </w:rPr>
              <w:t>非正常死亡需提供，由案件办理公安部门出具。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死者照片</w:t>
            </w:r>
          </w:p>
        </w:tc>
        <w:tc>
          <w:tcPr>
            <w:tcW w:w="136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原件</w:t>
            </w:r>
          </w:p>
        </w:tc>
        <w:tc>
          <w:tcPr>
            <w:tcW w:w="1194"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1份</w:t>
            </w:r>
          </w:p>
        </w:tc>
        <w:tc>
          <w:tcPr>
            <w:tcW w:w="2269" w:type="dxa"/>
            <w:noWrap w:val="0"/>
            <w:vAlign w:val="center"/>
          </w:tcPr>
          <w:p>
            <w:pPr>
              <w:rPr>
                <w:rFonts w:ascii="仿宋" w:hAnsi="仿宋" w:eastAsia="仿宋"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ascii="仿宋" w:hAnsi="仿宋" w:eastAsia="仿宋" w:cs="Times New Roman"/>
                <w:sz w:val="24"/>
              </w:rPr>
            </w:pPr>
            <w:r>
              <w:rPr>
                <w:rFonts w:ascii="仿宋" w:hAnsi="仿宋" w:eastAsia="仿宋" w:cs="仿宋"/>
                <w:kern w:val="0"/>
                <w:sz w:val="24"/>
                <w:lang w:bidi="ar"/>
              </w:rPr>
              <w:t>代办人（申领人）与参保人的关系承诺书</w:t>
            </w:r>
          </w:p>
        </w:tc>
        <w:tc>
          <w:tcPr>
            <w:tcW w:w="1363" w:type="dxa"/>
            <w:noWrap w:val="0"/>
            <w:vAlign w:val="center"/>
          </w:tcPr>
          <w:p>
            <w:pPr>
              <w:widowControl/>
              <w:textAlignment w:val="center"/>
              <w:rPr>
                <w:rFonts w:ascii="仿宋" w:hAnsi="仿宋" w:eastAsia="仿宋" w:cs="Times New Roman"/>
                <w:sz w:val="24"/>
              </w:rPr>
            </w:pPr>
            <w:r>
              <w:rPr>
                <w:rFonts w:ascii="仿宋" w:hAnsi="仿宋" w:eastAsia="仿宋" w:cs="仿宋"/>
                <w:kern w:val="0"/>
                <w:sz w:val="24"/>
                <w:lang w:bidi="ar"/>
              </w:rPr>
              <w:t>原件</w:t>
            </w:r>
          </w:p>
        </w:tc>
        <w:tc>
          <w:tcPr>
            <w:tcW w:w="1194" w:type="dxa"/>
            <w:noWrap w:val="0"/>
            <w:vAlign w:val="center"/>
          </w:tcPr>
          <w:p>
            <w:pPr>
              <w:widowControl/>
              <w:textAlignment w:val="center"/>
              <w:rPr>
                <w:rFonts w:ascii="仿宋" w:hAnsi="仿宋" w:eastAsia="仿宋" w:cs="Times New Roman"/>
                <w:sz w:val="24"/>
              </w:rPr>
            </w:pPr>
            <w:r>
              <w:rPr>
                <w:rFonts w:ascii="仿宋" w:hAnsi="仿宋" w:eastAsia="仿宋" w:cs="仿宋"/>
                <w:kern w:val="0"/>
                <w:sz w:val="24"/>
                <w:lang w:bidi="ar"/>
              </w:rPr>
              <w:t>1份</w:t>
            </w:r>
          </w:p>
        </w:tc>
        <w:tc>
          <w:tcPr>
            <w:tcW w:w="2269" w:type="dxa"/>
            <w:noWrap w:val="0"/>
            <w:vAlign w:val="center"/>
          </w:tcPr>
          <w:p>
            <w:pPr>
              <w:rPr>
                <w:rFonts w:ascii="仿宋" w:hAnsi="仿宋" w:eastAsia="仿宋" w:cs="Times New Roman"/>
                <w:sz w:val="24"/>
              </w:rPr>
            </w:pPr>
            <w:r>
              <w:rPr>
                <w:rFonts w:ascii="仿宋" w:hAnsi="仿宋" w:eastAsia="仿宋" w:cs="Times New Roman"/>
                <w:sz w:val="24"/>
              </w:rPr>
              <w:t>适用于人社个人账户一次性待遇申领、遗属待遇申领业务，</w:t>
            </w:r>
            <w:r>
              <w:rPr>
                <w:rFonts w:ascii="仿宋" w:hAnsi="仿宋" w:eastAsia="仿宋" w:cs="仿宋"/>
                <w:kern w:val="0"/>
                <w:sz w:val="24"/>
                <w:lang w:bidi="ar"/>
              </w:rPr>
              <w:t>参保人死亡，无法使用参保人社会保障卡金融账户或其他银行账户领取待遇的须提供。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代办人照片</w:t>
            </w:r>
          </w:p>
        </w:tc>
        <w:tc>
          <w:tcPr>
            <w:tcW w:w="136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电子版</w:t>
            </w:r>
          </w:p>
        </w:tc>
        <w:tc>
          <w:tcPr>
            <w:tcW w:w="1194"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1份</w:t>
            </w:r>
          </w:p>
        </w:tc>
        <w:tc>
          <w:tcPr>
            <w:tcW w:w="2269"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人脸识别时截取，代办人办理公积金提取和注销驾驶证时提供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代办人居民身份证</w:t>
            </w:r>
          </w:p>
        </w:tc>
        <w:tc>
          <w:tcPr>
            <w:tcW w:w="1363"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原件</w:t>
            </w:r>
          </w:p>
        </w:tc>
        <w:tc>
          <w:tcPr>
            <w:tcW w:w="1194" w:type="dxa"/>
            <w:noWrap w:val="0"/>
            <w:vAlign w:val="center"/>
          </w:tcPr>
          <w:p>
            <w:pPr>
              <w:widowControl/>
              <w:textAlignment w:val="center"/>
              <w:rPr>
                <w:rFonts w:hint="default" w:ascii="仿宋" w:hAnsi="仿宋" w:eastAsia="仿宋" w:cs="Times New Roman"/>
                <w:sz w:val="24"/>
              </w:rPr>
            </w:pPr>
            <w:r>
              <w:rPr>
                <w:rFonts w:ascii="仿宋" w:hAnsi="仿宋" w:eastAsia="仿宋" w:cs="仿宋"/>
                <w:color w:val="000000"/>
                <w:kern w:val="0"/>
                <w:sz w:val="24"/>
                <w:lang w:bidi="ar"/>
              </w:rPr>
              <w:t>1份</w:t>
            </w:r>
          </w:p>
        </w:tc>
        <w:tc>
          <w:tcPr>
            <w:tcW w:w="2269"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代办人与公积金、医保待遇、养老保险个人账户、遗属待遇提取人应一致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告知承诺书（含相关事项委托书）</w:t>
            </w:r>
          </w:p>
        </w:tc>
        <w:tc>
          <w:tcPr>
            <w:tcW w:w="1363"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原件</w:t>
            </w:r>
          </w:p>
        </w:tc>
        <w:tc>
          <w:tcPr>
            <w:tcW w:w="1194"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1份</w:t>
            </w:r>
          </w:p>
        </w:tc>
        <w:tc>
          <w:tcPr>
            <w:tcW w:w="2269" w:type="dxa"/>
            <w:noWrap w:val="0"/>
            <w:vAlign w:val="center"/>
          </w:tcPr>
          <w:p>
            <w:pPr>
              <w:widowControl/>
              <w:textAlignment w:val="center"/>
              <w:rPr>
                <w:rFonts w:hint="default" w:ascii="仿宋" w:hAnsi="仿宋" w:eastAsia="仿宋" w:cs="Times New Roman"/>
                <w:sz w:val="24"/>
              </w:rPr>
            </w:pPr>
            <w:r>
              <w:rPr>
                <w:rFonts w:ascii="仿宋" w:hAnsi="仿宋" w:eastAsia="仿宋" w:cs="Times New Roman"/>
                <w:sz w:val="24"/>
              </w:rPr>
              <w:t>代办人办理个人待遇一次性申领、遗属待遇申领、参保人员个人账户一次性支取、注销驾驶证时提供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6" w:type="dxa"/>
            <w:vMerge w:val="continue"/>
            <w:noWrap w:val="0"/>
            <w:vAlign w:val="center"/>
          </w:tcPr>
          <w:p>
            <w:pPr>
              <w:outlineLvl w:val="2"/>
              <w:rPr>
                <w:rFonts w:ascii="仿宋" w:hAnsi="仿宋" w:eastAsia="仿宋" w:cs="Times New Roman"/>
                <w:sz w:val="24"/>
              </w:rPr>
            </w:pPr>
          </w:p>
        </w:tc>
        <w:tc>
          <w:tcPr>
            <w:tcW w:w="3043"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公证部门对该继承权的公证书</w:t>
            </w:r>
          </w:p>
        </w:tc>
        <w:tc>
          <w:tcPr>
            <w:tcW w:w="1363"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原件</w:t>
            </w:r>
          </w:p>
        </w:tc>
        <w:tc>
          <w:tcPr>
            <w:tcW w:w="1194" w:type="dxa"/>
            <w:noWrap w:val="0"/>
            <w:vAlign w:val="center"/>
          </w:tcPr>
          <w:p>
            <w:pPr>
              <w:widowControl/>
              <w:textAlignment w:val="center"/>
              <w:rPr>
                <w:rFonts w:ascii="仿宋" w:hAnsi="仿宋" w:eastAsia="仿宋" w:cs="Times New Roman"/>
                <w:sz w:val="24"/>
              </w:rPr>
            </w:pPr>
            <w:r>
              <w:rPr>
                <w:rFonts w:ascii="仿宋" w:hAnsi="仿宋" w:eastAsia="仿宋" w:cs="仿宋"/>
                <w:color w:val="000000"/>
                <w:kern w:val="0"/>
                <w:sz w:val="24"/>
                <w:lang w:bidi="ar"/>
              </w:rPr>
              <w:t>1份</w:t>
            </w:r>
          </w:p>
        </w:tc>
        <w:tc>
          <w:tcPr>
            <w:tcW w:w="2269" w:type="dxa"/>
            <w:noWrap w:val="0"/>
            <w:vAlign w:val="center"/>
          </w:tcPr>
          <w:p>
            <w:pPr>
              <w:rPr>
                <w:rFonts w:ascii="仿宋" w:hAnsi="仿宋" w:eastAsia="仿宋" w:cs="Times New Roman"/>
                <w:sz w:val="24"/>
              </w:rPr>
            </w:pPr>
            <w:r>
              <w:rPr>
                <w:rFonts w:ascii="仿宋" w:hAnsi="仿宋" w:eastAsia="仿宋" w:cs="Times New Roman"/>
                <w:sz w:val="24"/>
              </w:rPr>
              <w:t>公证部门对该继承权进行公证，并指定其中一个继承人为提取公积金代办人</w:t>
            </w:r>
          </w:p>
        </w:tc>
      </w:tr>
    </w:tbl>
    <w:p>
      <w:pPr>
        <w:spacing w:line="560" w:lineRule="exact"/>
        <w:ind w:firstLine="640" w:firstLineChars="200"/>
        <w:rPr>
          <w:rFonts w:hint="eastAsia" w:ascii="黑体" w:hAnsi="黑体" w:eastAsia="黑体" w:cs="宋体"/>
          <w:bCs/>
          <w:sz w:val="32"/>
          <w:szCs w:val="24"/>
        </w:rPr>
      </w:pPr>
      <w:r>
        <w:rPr>
          <w:rFonts w:hint="eastAsia" w:ascii="黑体" w:hAnsi="黑体" w:eastAsia="黑体" w:cs="宋体"/>
          <w:bCs/>
          <w:sz w:val="32"/>
          <w:szCs w:val="24"/>
        </w:rPr>
        <w:t>七、申报表单</w:t>
      </w:r>
    </w:p>
    <w:p>
      <w:pPr>
        <w:spacing w:line="600" w:lineRule="exact"/>
        <w:ind w:firstLine="1280" w:firstLineChars="400"/>
        <w:outlineLvl w:val="2"/>
        <w:rPr>
          <w:rFonts w:hint="eastAsia" w:ascii="仿宋" w:hAnsi="仿宋" w:eastAsia="仿宋"/>
          <w:b/>
          <w:sz w:val="32"/>
          <w:szCs w:val="32"/>
        </w:rPr>
      </w:pPr>
      <w:r>
        <w:rPr>
          <w:rFonts w:hint="eastAsia" w:ascii="仿宋" w:hAnsi="仿宋" w:eastAsia="仿宋"/>
          <w:sz w:val="32"/>
          <w:szCs w:val="32"/>
        </w:rPr>
        <w:t>公民身后“一件事一次办”申报表单</w:t>
      </w:r>
    </w:p>
    <w:tbl>
      <w:tblPr>
        <w:tblStyle w:val="13"/>
        <w:tblW w:w="8818" w:type="dxa"/>
        <w:jc w:val="center"/>
        <w:tblLayout w:type="fixed"/>
        <w:tblCellMar>
          <w:top w:w="0" w:type="dxa"/>
          <w:left w:w="0" w:type="dxa"/>
          <w:bottom w:w="0" w:type="dxa"/>
          <w:right w:w="0" w:type="dxa"/>
        </w:tblCellMar>
      </w:tblPr>
      <w:tblGrid>
        <w:gridCol w:w="2274"/>
        <w:gridCol w:w="2157"/>
        <w:gridCol w:w="12"/>
        <w:gridCol w:w="1598"/>
        <w:gridCol w:w="2777"/>
      </w:tblGrid>
      <w:tr>
        <w:tblPrEx>
          <w:tblCellMar>
            <w:top w:w="0" w:type="dxa"/>
            <w:left w:w="0" w:type="dxa"/>
            <w:bottom w:w="0" w:type="dxa"/>
            <w:right w:w="0" w:type="dxa"/>
          </w:tblCellMar>
        </w:tblPrEx>
        <w:trPr>
          <w:trHeight w:val="340" w:hRule="atLeast"/>
          <w:jc w:val="center"/>
        </w:trPr>
        <w:tc>
          <w:tcPr>
            <w:tcW w:w="8818" w:type="dxa"/>
            <w:gridSpan w:val="5"/>
            <w:tcBorders>
              <w:top w:val="nil"/>
              <w:left w:val="nil"/>
              <w:bottom w:val="nil"/>
              <w:right w:val="nil"/>
            </w:tcBorders>
            <w:noWrap/>
            <w:tcMar>
              <w:top w:w="15" w:type="dxa"/>
              <w:left w:w="15" w:type="dxa"/>
              <w:right w:w="15" w:type="dxa"/>
            </w:tcMar>
            <w:vAlign w:val="center"/>
          </w:tcPr>
          <w:p>
            <w:pPr>
              <w:jc w:val="center"/>
              <w:rPr>
                <w:rFonts w:ascii="仿宋" w:hAnsi="仿宋" w:eastAsia="仿宋" w:cs="仿宋"/>
                <w:b/>
                <w:bCs/>
                <w:sz w:val="24"/>
              </w:rPr>
            </w:pPr>
          </w:p>
        </w:tc>
      </w:tr>
      <w:tr>
        <w:tblPrEx>
          <w:tblCellMar>
            <w:top w:w="0" w:type="dxa"/>
            <w:left w:w="0" w:type="dxa"/>
            <w:bottom w:w="0" w:type="dxa"/>
            <w:right w:w="0" w:type="dxa"/>
          </w:tblCellMar>
        </w:tblPrEx>
        <w:trPr>
          <w:trHeight w:val="340" w:hRule="atLeast"/>
          <w:jc w:val="center"/>
        </w:trPr>
        <w:tc>
          <w:tcPr>
            <w:tcW w:w="8818"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仿宋" w:hAnsi="仿宋" w:eastAsia="仿宋" w:cs="仿宋"/>
                <w:b/>
                <w:bCs/>
                <w:sz w:val="24"/>
              </w:rPr>
            </w:pPr>
            <w:r>
              <w:rPr>
                <w:rFonts w:ascii="仿宋" w:hAnsi="仿宋" w:eastAsia="仿宋" w:cs="仿宋"/>
                <w:b/>
                <w:bCs/>
                <w:sz w:val="24"/>
              </w:rPr>
              <w:t>死亡人员信息</w:t>
            </w: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姓名</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性别</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出生日期</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死亡时间</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国籍</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highlight w:val="yellow"/>
              </w:rPr>
            </w:pPr>
            <w:r>
              <w:rPr>
                <w:rFonts w:ascii="仿宋" w:hAnsi="仿宋" w:eastAsia="仿宋" w:cs="仿宋"/>
                <w:sz w:val="24"/>
              </w:rPr>
              <w:t>死者预留在银行的手机号码</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身份证件名称</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身份证号码</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死亡原因</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参保人社会保障号码</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default" w:ascii="仿宋" w:hAnsi="仿宋" w:eastAsia="仿宋" w:cs="仿宋"/>
                <w:sz w:val="24"/>
              </w:rPr>
            </w:pPr>
            <w:r>
              <w:rPr>
                <w:rFonts w:ascii="仿宋" w:hAnsi="仿宋" w:eastAsia="仿宋" w:cs="仿宋"/>
                <w:sz w:val="24"/>
              </w:rPr>
              <w:t>个人公积金账号</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人员参保终止时间</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人员参保终止原因</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支取原因</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工作单位</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银行户名</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银行行别</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开户支行</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银行行号</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default" w:ascii="仿宋" w:hAnsi="仿宋" w:eastAsia="仿宋" w:cs="仿宋"/>
                <w:sz w:val="24"/>
              </w:rPr>
            </w:pPr>
            <w:r>
              <w:rPr>
                <w:rFonts w:ascii="仿宋" w:hAnsi="仿宋" w:eastAsia="仿宋" w:cs="仿宋"/>
                <w:sz w:val="24"/>
              </w:rPr>
              <w:t>银行账号</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8818"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仿宋" w:hAnsi="仿宋" w:eastAsia="仿宋" w:cs="仿宋"/>
                <w:sz w:val="24"/>
              </w:rPr>
            </w:pPr>
            <w:r>
              <w:rPr>
                <w:rFonts w:ascii="仿宋" w:hAnsi="仿宋" w:eastAsia="仿宋" w:cs="仿宋"/>
                <w:b/>
                <w:bCs/>
                <w:sz w:val="24"/>
              </w:rPr>
              <w:t>代办人信息</w:t>
            </w: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姓名</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性别</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身份证件名称</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身份证号码</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联系地址</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户籍地</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工作单位</w:t>
            </w:r>
          </w:p>
        </w:tc>
        <w:tc>
          <w:tcPr>
            <w:tcW w:w="216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59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联系电话</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常住地址</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办事人身份</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个人社保编号</w:t>
            </w:r>
          </w:p>
        </w:tc>
        <w:tc>
          <w:tcPr>
            <w:tcW w:w="21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61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待遇领取方式</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银行户名</w:t>
            </w:r>
          </w:p>
        </w:tc>
        <w:tc>
          <w:tcPr>
            <w:tcW w:w="21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61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银行行别</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开户支行</w:t>
            </w:r>
          </w:p>
        </w:tc>
        <w:tc>
          <w:tcPr>
            <w:tcW w:w="21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61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银行行号</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银行账号</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与死者关系</w:t>
            </w:r>
          </w:p>
        </w:tc>
        <w:tc>
          <w:tcPr>
            <w:tcW w:w="654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340" w:hRule="atLeast"/>
          <w:jc w:val="center"/>
        </w:trPr>
        <w:tc>
          <w:tcPr>
            <w:tcW w:w="8818"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仿宋" w:hAnsi="仿宋" w:eastAsia="仿宋" w:cs="仿宋"/>
                <w:sz w:val="24"/>
              </w:rPr>
            </w:pPr>
            <w:r>
              <w:rPr>
                <w:rFonts w:ascii="仿宋" w:hAnsi="仿宋" w:eastAsia="仿宋" w:cs="仿宋"/>
                <w:b/>
                <w:bCs/>
                <w:sz w:val="24"/>
              </w:rPr>
              <w:t>其它信息</w:t>
            </w:r>
          </w:p>
        </w:tc>
      </w:tr>
      <w:tr>
        <w:tblPrEx>
          <w:tblCellMar>
            <w:top w:w="0" w:type="dxa"/>
            <w:left w:w="0" w:type="dxa"/>
            <w:bottom w:w="0" w:type="dxa"/>
            <w:right w:w="0" w:type="dxa"/>
          </w:tblCellMar>
        </w:tblPrEx>
        <w:trPr>
          <w:trHeight w:val="340" w:hRule="atLeast"/>
          <w:jc w:val="center"/>
        </w:trPr>
        <w:tc>
          <w:tcPr>
            <w:tcW w:w="22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r>
              <w:rPr>
                <w:rFonts w:ascii="仿宋" w:hAnsi="仿宋" w:eastAsia="仿宋" w:cs="仿宋"/>
                <w:sz w:val="24"/>
              </w:rPr>
              <w:t>机动车驾驶证申请业务种类</w:t>
            </w:r>
          </w:p>
        </w:tc>
        <w:tc>
          <w:tcPr>
            <w:tcW w:w="215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c>
          <w:tcPr>
            <w:tcW w:w="161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hint="default" w:ascii="仿宋" w:hAnsi="仿宋" w:eastAsia="仿宋" w:cs="仿宋"/>
                <w:sz w:val="24"/>
              </w:rPr>
            </w:pPr>
            <w:r>
              <w:rPr>
                <w:rFonts w:ascii="仿宋" w:hAnsi="仿宋" w:eastAsia="仿宋" w:cs="仿宋"/>
                <w:sz w:val="24"/>
              </w:rPr>
              <w:t>驾驶证业务申请原因</w:t>
            </w:r>
          </w:p>
        </w:tc>
        <w:tc>
          <w:tcPr>
            <w:tcW w:w="277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r>
        <w:tblPrEx>
          <w:tblCellMar>
            <w:top w:w="0" w:type="dxa"/>
            <w:left w:w="0" w:type="dxa"/>
            <w:bottom w:w="0" w:type="dxa"/>
            <w:right w:w="0" w:type="dxa"/>
          </w:tblCellMar>
        </w:tblPrEx>
        <w:trPr>
          <w:trHeight w:val="2265" w:hRule="atLeast"/>
          <w:jc w:val="center"/>
        </w:trPr>
        <w:tc>
          <w:tcPr>
            <w:tcW w:w="4431"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ascii="仿宋" w:hAnsi="仿宋" w:eastAsia="仿宋" w:cs="仿宋"/>
                <w:sz w:val="24"/>
              </w:rPr>
            </w:pPr>
            <w:r>
              <w:rPr>
                <w:rFonts w:ascii="仿宋" w:hAnsi="仿宋" w:eastAsia="仿宋" w:cs="仿宋"/>
                <w:sz w:val="24"/>
              </w:rPr>
              <w:t>死者照片</w:t>
            </w:r>
          </w:p>
        </w:tc>
        <w:tc>
          <w:tcPr>
            <w:tcW w:w="438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rPr>
                <w:rFonts w:ascii="仿宋" w:hAnsi="仿宋" w:eastAsia="仿宋" w:cs="仿宋"/>
                <w:sz w:val="24"/>
              </w:rPr>
            </w:pPr>
          </w:p>
        </w:tc>
      </w:tr>
    </w:tbl>
    <w:p>
      <w:pPr>
        <w:spacing w:line="560" w:lineRule="exact"/>
        <w:ind w:firstLine="640" w:firstLineChars="200"/>
        <w:rPr>
          <w:rFonts w:ascii="黑体" w:hAnsi="黑体" w:eastAsia="黑体" w:cs="宋体"/>
          <w:bCs/>
          <w:sz w:val="32"/>
          <w:szCs w:val="24"/>
        </w:rPr>
      </w:pPr>
      <w:r>
        <w:rPr>
          <w:rFonts w:hint="eastAsia" w:ascii="黑体" w:hAnsi="黑体" w:eastAsia="黑体" w:cs="宋体"/>
          <w:bCs/>
          <w:sz w:val="32"/>
          <w:szCs w:val="24"/>
        </w:rPr>
        <w:t>八、申请方式</w:t>
      </w:r>
    </w:p>
    <w:p>
      <w:pPr>
        <w:spacing w:line="560" w:lineRule="exact"/>
        <w:ind w:firstLine="643" w:firstLineChars="200"/>
        <w:rPr>
          <w:rFonts w:hint="eastAsia" w:ascii="仿宋_GB2312" w:hAnsi="宋体" w:eastAsia="仿宋_GB2312" w:cs="宋体"/>
          <w:sz w:val="32"/>
          <w:szCs w:val="24"/>
        </w:rPr>
      </w:pPr>
      <w:r>
        <w:rPr>
          <w:rFonts w:hint="eastAsia" w:ascii="仿宋_GB2312" w:hAnsi="宋体" w:eastAsia="仿宋_GB2312" w:cs="宋体"/>
          <w:b/>
          <w:sz w:val="32"/>
          <w:szCs w:val="24"/>
        </w:rPr>
        <w:t>1.线上申报。</w:t>
      </w:r>
      <w:r>
        <w:rPr>
          <w:rFonts w:hint="eastAsia" w:ascii="仿宋_GB2312" w:hAnsi="宋体" w:eastAsia="仿宋_GB2312" w:cs="宋体"/>
          <w:sz w:val="32"/>
          <w:szCs w:val="24"/>
        </w:rPr>
        <w:t>申请人在河北政务服务网“一件事一次办”专区或“冀时办”APP选择“</w:t>
      </w:r>
      <w:r>
        <w:rPr>
          <w:rFonts w:hint="eastAsia" w:ascii="仿宋" w:hAnsi="仿宋" w:eastAsia="仿宋" w:cs="仿宋"/>
          <w:sz w:val="32"/>
          <w:szCs w:val="32"/>
          <w:lang w:eastAsia="zh-CN" w:bidi="ar"/>
        </w:rPr>
        <w:t>公民身后</w:t>
      </w:r>
      <w:r>
        <w:rPr>
          <w:rFonts w:hint="eastAsia" w:ascii="仿宋_GB2312" w:hAnsi="宋体" w:eastAsia="仿宋_GB2312" w:cs="宋体"/>
          <w:sz w:val="32"/>
          <w:szCs w:val="24"/>
        </w:rPr>
        <w:t>”事项，进行申报。</w:t>
      </w:r>
    </w:p>
    <w:p>
      <w:pPr>
        <w:spacing w:line="560" w:lineRule="exact"/>
        <w:ind w:firstLine="643" w:firstLineChars="200"/>
        <w:rPr>
          <w:rFonts w:hint="eastAsia" w:ascii="仿宋_GB2312" w:hAnsi="宋体" w:eastAsia="仿宋_GB2312" w:cs="宋体"/>
          <w:sz w:val="32"/>
          <w:szCs w:val="24"/>
        </w:rPr>
      </w:pPr>
      <w:r>
        <w:rPr>
          <w:rFonts w:hint="eastAsia" w:ascii="仿宋_GB2312" w:hAnsi="宋体" w:eastAsia="仿宋_GB2312" w:cs="宋体"/>
          <w:b/>
          <w:sz w:val="32"/>
          <w:szCs w:val="24"/>
        </w:rPr>
        <w:t>2.窗口申报。</w:t>
      </w:r>
      <w:r>
        <w:rPr>
          <w:rFonts w:hint="eastAsia" w:ascii="仿宋_GB2312" w:hAnsi="宋体" w:eastAsia="仿宋_GB2312" w:cs="宋体"/>
          <w:sz w:val="32"/>
          <w:szCs w:val="24"/>
        </w:rPr>
        <w:t>申请人通过</w:t>
      </w:r>
      <w:r>
        <w:rPr>
          <w:rFonts w:hint="eastAsia" w:ascii="仿宋_GB2312" w:hAnsi="宋体" w:eastAsia="仿宋_GB2312" w:cs="宋体"/>
          <w:sz w:val="32"/>
          <w:szCs w:val="24"/>
          <w:lang w:eastAsia="zh-CN"/>
        </w:rPr>
        <w:t>卫健或公安</w:t>
      </w:r>
      <w:r>
        <w:rPr>
          <w:rFonts w:hint="eastAsia" w:ascii="仿宋_GB2312" w:hAnsi="仿宋_GB2312" w:eastAsia="仿宋_GB2312" w:cs="仿宋_GB2312"/>
          <w:color w:val="000000" w:themeColor="text1"/>
          <w:sz w:val="32"/>
          <w:szCs w:val="32"/>
          <w14:textFill>
            <w14:solidFill>
              <w14:schemeClr w14:val="tx1"/>
            </w14:solidFill>
          </w14:textFill>
        </w:rPr>
        <w:t>“一件事一次办”窗口</w:t>
      </w:r>
      <w:r>
        <w:rPr>
          <w:rFonts w:hint="eastAsia" w:ascii="仿宋_GB2312" w:hAnsi="宋体" w:eastAsia="仿宋_GB2312" w:cs="宋体"/>
          <w:sz w:val="32"/>
          <w:szCs w:val="24"/>
        </w:rPr>
        <w:t>一次性提交一套申请材料。</w:t>
      </w:r>
    </w:p>
    <w:p>
      <w:pPr>
        <w:spacing w:line="560" w:lineRule="exact"/>
        <w:ind w:firstLine="640" w:firstLineChars="200"/>
        <w:rPr>
          <w:rFonts w:ascii="黑体" w:hAnsi="黑体" w:eastAsia="黑体" w:cs="宋体"/>
          <w:bCs/>
          <w:sz w:val="32"/>
          <w:szCs w:val="24"/>
        </w:rPr>
      </w:pPr>
      <w:r>
        <w:rPr>
          <w:rFonts w:hint="eastAsia" w:ascii="黑体" w:hAnsi="黑体" w:eastAsia="黑体" w:cs="宋体"/>
          <w:bCs/>
          <w:sz w:val="32"/>
          <w:szCs w:val="24"/>
        </w:rPr>
        <w:t>九、办理流程图</w:t>
      </w: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420" w:firstLineChars="200"/>
        <w:jc w:val="left"/>
        <w:rPr>
          <w:rFonts w:ascii="黑体" w:hAnsi="黑体" w:eastAsia="黑体" w:cs="宋体"/>
          <w:bCs/>
          <w:sz w:val="32"/>
          <w:szCs w:val="24"/>
        </w:rPr>
      </w:pPr>
      <w:r>
        <w:rPr>
          <w:rFonts w:hint="eastAsia"/>
        </w:rPr>
        <w:drawing>
          <wp:anchor distT="0" distB="0" distL="114300" distR="114300" simplePos="0" relativeHeight="251659264" behindDoc="0" locked="0" layoutInCell="1" allowOverlap="1">
            <wp:simplePos x="0" y="0"/>
            <wp:positionH relativeFrom="column">
              <wp:posOffset>123825</wp:posOffset>
            </wp:positionH>
            <wp:positionV relativeFrom="paragraph">
              <wp:posOffset>34290</wp:posOffset>
            </wp:positionV>
            <wp:extent cx="5367655" cy="4890135"/>
            <wp:effectExtent l="0" t="0" r="4445" b="5715"/>
            <wp:wrapNone/>
            <wp:docPr id="2" name="图片 1" descr="8公民身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8公民身后"/>
                    <pic:cNvPicPr>
                      <a:picLocks noChangeAspect="1"/>
                    </pic:cNvPicPr>
                  </pic:nvPicPr>
                  <pic:blipFill>
                    <a:blip r:embed="rId4"/>
                    <a:stretch>
                      <a:fillRect/>
                    </a:stretch>
                  </pic:blipFill>
                  <pic:spPr>
                    <a:xfrm>
                      <a:off x="0" y="0"/>
                      <a:ext cx="5367655" cy="4890135"/>
                    </a:xfrm>
                    <a:prstGeom prst="rect">
                      <a:avLst/>
                    </a:prstGeom>
                    <a:noFill/>
                    <a:ln>
                      <a:noFill/>
                    </a:ln>
                  </pic:spPr>
                </pic:pic>
              </a:graphicData>
            </a:graphic>
          </wp:anchor>
        </w:drawing>
      </w: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ascii="黑体" w:hAnsi="黑体" w:eastAsia="黑体" w:cs="宋体"/>
          <w:bCs/>
          <w:sz w:val="32"/>
          <w:szCs w:val="24"/>
        </w:rPr>
      </w:pPr>
    </w:p>
    <w:p>
      <w:pPr>
        <w:ind w:firstLine="640" w:firstLineChars="200"/>
        <w:jc w:val="left"/>
        <w:rPr>
          <w:rFonts w:hint="eastAsia" w:ascii="黑体" w:hAnsi="黑体" w:eastAsia="黑体" w:cs="宋体"/>
          <w:bCs/>
          <w:sz w:val="32"/>
          <w:szCs w:val="24"/>
        </w:rPr>
      </w:pPr>
      <w:r>
        <w:rPr>
          <w:rFonts w:ascii="黑体" w:hAnsi="黑体" w:eastAsia="黑体" w:cs="宋体"/>
          <w:bCs/>
          <w:sz w:val="32"/>
          <w:szCs w:val="24"/>
        </w:rPr>
        <w:t>十、办理时限</w:t>
      </w:r>
    </w:p>
    <w:p>
      <w:pPr>
        <w:spacing w:line="560" w:lineRule="exact"/>
        <w:ind w:firstLine="640" w:firstLineChars="200"/>
        <w:rPr>
          <w:rFonts w:hint="eastAsia" w:ascii="仿宋_GB2312" w:hAnsi="宋体" w:eastAsia="仿宋_GB2312" w:cs="宋体"/>
          <w:sz w:val="32"/>
          <w:szCs w:val="24"/>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16</w:t>
      </w:r>
      <w:r>
        <w:rPr>
          <w:rFonts w:hint="eastAsia" w:ascii="仿宋_GB2312" w:hAnsi="仿宋_GB2312" w:eastAsia="仿宋_GB2312" w:cs="仿宋_GB2312"/>
          <w:color w:val="000000" w:themeColor="text1"/>
          <w:sz w:val="32"/>
          <w:szCs w:val="32"/>
          <w14:textFill>
            <w14:solidFill>
              <w14:schemeClr w14:val="tx1"/>
            </w14:solidFill>
          </w14:textFill>
        </w:rPr>
        <w:t>个工作日</w:t>
      </w:r>
      <w:r>
        <w:rPr>
          <w:rFonts w:hint="eastAsia" w:ascii="仿宋_GB2312" w:hAnsi="宋体" w:eastAsia="仿宋_GB2312" w:cs="宋体"/>
          <w:sz w:val="32"/>
          <w:szCs w:val="24"/>
        </w:rPr>
        <w:t>。</w:t>
      </w:r>
    </w:p>
    <w:p>
      <w:pPr>
        <w:spacing w:line="560" w:lineRule="exact"/>
        <w:ind w:firstLine="640" w:firstLineChars="200"/>
        <w:rPr>
          <w:rFonts w:hint="eastAsia" w:ascii="黑体" w:hAnsi="黑体" w:eastAsia="黑体" w:cs="宋体"/>
          <w:bCs/>
          <w:sz w:val="32"/>
          <w:szCs w:val="24"/>
        </w:rPr>
      </w:pPr>
      <w:r>
        <w:rPr>
          <w:rFonts w:hint="eastAsia" w:ascii="黑体" w:hAnsi="黑体" w:eastAsia="黑体" w:cs="宋体"/>
          <w:bCs/>
          <w:sz w:val="32"/>
          <w:szCs w:val="24"/>
        </w:rPr>
        <w:t>十一、办理地点及交通指引</w:t>
      </w:r>
    </w:p>
    <w:p>
      <w:pPr>
        <w:spacing w:line="560" w:lineRule="exact"/>
        <w:ind w:firstLine="640" w:firstLineChars="200"/>
        <w:rPr>
          <w:rFonts w:hint="eastAsia" w:ascii="楷体_GB2312" w:hAnsi="宋体" w:eastAsia="楷体_GB2312" w:cs="宋体"/>
          <w:sz w:val="32"/>
          <w:szCs w:val="24"/>
        </w:rPr>
      </w:pPr>
      <w:r>
        <w:rPr>
          <w:rFonts w:hint="eastAsia" w:ascii="楷体_GB2312" w:hAnsi="宋体" w:eastAsia="楷体_GB2312" w:cs="宋体"/>
          <w:sz w:val="32"/>
          <w:szCs w:val="24"/>
        </w:rPr>
        <w:t>（一）办理地点</w:t>
      </w:r>
    </w:p>
    <w:p>
      <w:pPr>
        <w:spacing w:line="560" w:lineRule="exact"/>
        <w:ind w:firstLine="640" w:firstLineChars="200"/>
        <w:rPr>
          <w:rFonts w:hint="eastAsia" w:ascii="仿宋" w:hAnsi="仿宋" w:eastAsia="仿宋" w:cs="仿宋"/>
          <w:color w:val="000000"/>
          <w:spacing w:val="-2"/>
          <w:kern w:val="2"/>
          <w:sz w:val="32"/>
          <w:szCs w:val="24"/>
          <w:lang w:val="en-US" w:eastAsia="zh-CN" w:bidi="ar-SA"/>
        </w:rPr>
      </w:pPr>
      <w:r>
        <w:rPr>
          <w:rFonts w:hint="eastAsia" w:ascii="仿宋_GB2312" w:hAnsi="宋体" w:eastAsia="仿宋_GB2312" w:cs="宋体"/>
          <w:sz w:val="32"/>
          <w:szCs w:val="24"/>
          <w:lang w:eastAsia="zh-CN"/>
        </w:rPr>
        <w:t>正常死亡办理地点：</w:t>
      </w:r>
      <w:r>
        <w:rPr>
          <w:rFonts w:hint="eastAsia" w:ascii="仿宋" w:hAnsi="仿宋" w:eastAsia="仿宋" w:cs="仿宋"/>
          <w:color w:val="000000"/>
          <w:spacing w:val="-2"/>
          <w:kern w:val="2"/>
          <w:sz w:val="32"/>
          <w:szCs w:val="24"/>
          <w:lang w:val="en-US" w:eastAsia="zh-CN" w:bidi="ar-SA"/>
        </w:rPr>
        <w:t>县直医疗机构、乡镇卫生院</w:t>
      </w:r>
    </w:p>
    <w:p>
      <w:pPr>
        <w:rPr>
          <w:rFonts w:hint="default"/>
          <w:lang w:val="en-US" w:eastAsia="zh-CN"/>
        </w:rPr>
      </w:pPr>
      <w:r>
        <w:rPr>
          <w:rFonts w:hint="eastAsia" w:ascii="仿宋" w:hAnsi="仿宋" w:eastAsia="仿宋" w:cs="仿宋"/>
          <w:sz w:val="32"/>
          <w:szCs w:val="24"/>
          <w:lang w:val="en-US" w:eastAsia="zh-CN"/>
        </w:rPr>
        <w:t xml:space="preserve">                  </w:t>
      </w:r>
    </w:p>
    <w:p>
      <w:pPr>
        <w:pStyle w:val="2"/>
        <w:ind w:left="0" w:leftChars="0" w:firstLine="632" w:firstLineChars="200"/>
        <w:rPr>
          <w:rFonts w:hint="eastAsia" w:ascii="仿宋" w:hAnsi="仿宋" w:eastAsia="仿宋" w:cs="仿宋"/>
          <w:lang w:val="en-US" w:eastAsia="zh-CN"/>
        </w:rPr>
      </w:pPr>
      <w:r>
        <w:rPr>
          <w:rFonts w:hint="eastAsia" w:ascii="仿宋" w:hAnsi="仿宋" w:eastAsia="仿宋" w:cs="仿宋"/>
          <w:sz w:val="32"/>
          <w:szCs w:val="24"/>
          <w:lang w:val="en-US" w:eastAsia="zh-CN"/>
        </w:rPr>
        <w:t>非正常死亡办理地点：涞源县公安局</w:t>
      </w:r>
    </w:p>
    <w:p>
      <w:pPr>
        <w:spacing w:line="560" w:lineRule="exact"/>
        <w:ind w:firstLine="640" w:firstLineChars="200"/>
        <w:rPr>
          <w:rFonts w:hint="eastAsia" w:ascii="楷体_GB2312" w:hAnsi="宋体" w:eastAsia="楷体_GB2312" w:cs="宋体"/>
          <w:sz w:val="32"/>
          <w:szCs w:val="24"/>
        </w:rPr>
      </w:pPr>
      <w:r>
        <w:rPr>
          <w:rFonts w:hint="eastAsia" w:ascii="楷体_GB2312" w:hAnsi="宋体" w:eastAsia="楷体_GB2312" w:cs="宋体"/>
          <w:sz w:val="32"/>
          <w:szCs w:val="24"/>
        </w:rPr>
        <w:t>（二）交通指引</w:t>
      </w:r>
    </w:p>
    <w:p>
      <w:pPr>
        <w:spacing w:line="560" w:lineRule="exact"/>
        <w:ind w:firstLine="640" w:firstLineChars="200"/>
        <w:rPr>
          <w:rFonts w:hint="eastAsia" w:ascii="仿宋" w:hAnsi="仿宋" w:eastAsia="仿宋" w:cs="仿宋"/>
          <w:sz w:val="32"/>
          <w:szCs w:val="24"/>
          <w:lang w:val="en-US" w:eastAsia="zh-CN"/>
        </w:rPr>
      </w:pPr>
      <w:r>
        <w:rPr>
          <w:rFonts w:hint="eastAsia" w:ascii="仿宋_GB2312" w:hAnsi="宋体" w:eastAsia="仿宋_GB2312" w:cs="宋体"/>
          <w:sz w:val="32"/>
          <w:szCs w:val="24"/>
          <w:lang w:eastAsia="zh-CN"/>
        </w:rPr>
        <w:t>正常死亡办理地点：</w:t>
      </w:r>
      <w:r>
        <w:rPr>
          <w:rFonts w:hint="eastAsia" w:ascii="仿宋" w:hAnsi="仿宋" w:eastAsia="仿宋" w:cs="仿宋"/>
          <w:sz w:val="32"/>
          <w:szCs w:val="24"/>
          <w:lang w:eastAsia="zh-CN"/>
        </w:rPr>
        <w:t>涞源县中心路</w:t>
      </w:r>
      <w:r>
        <w:rPr>
          <w:rFonts w:hint="eastAsia" w:ascii="仿宋" w:hAnsi="仿宋" w:eastAsia="仿宋" w:cs="仿宋"/>
          <w:sz w:val="32"/>
          <w:szCs w:val="24"/>
          <w:lang w:val="en-US" w:eastAsia="zh-CN"/>
        </w:rPr>
        <w:t>299号</w:t>
      </w:r>
    </w:p>
    <w:p>
      <w:pPr>
        <w:pStyle w:val="2"/>
        <w:rPr>
          <w:rFonts w:hint="eastAsia" w:ascii="仿宋" w:hAnsi="仿宋" w:eastAsia="仿宋" w:cs="仿宋"/>
          <w:sz w:val="32"/>
          <w:szCs w:val="24"/>
          <w:lang w:val="en-US" w:eastAsia="zh-CN"/>
        </w:rPr>
      </w:pPr>
      <w:r>
        <w:rPr>
          <w:rFonts w:hint="eastAsia" w:ascii="仿宋" w:hAnsi="仿宋" w:eastAsia="仿宋" w:cs="仿宋"/>
          <w:sz w:val="32"/>
          <w:szCs w:val="24"/>
          <w:lang w:val="en-US" w:eastAsia="zh-CN"/>
        </w:rPr>
        <w:t xml:space="preserve">                  涞源县开源路87号</w:t>
      </w:r>
    </w:p>
    <w:p>
      <w:pPr>
        <w:rPr>
          <w:rFonts w:hint="eastAsia" w:ascii="仿宋" w:hAnsi="仿宋" w:eastAsia="仿宋" w:cs="仿宋"/>
          <w:sz w:val="32"/>
          <w:szCs w:val="24"/>
          <w:lang w:val="en-US" w:eastAsia="zh-CN"/>
        </w:rPr>
      </w:pPr>
      <w:r>
        <w:rPr>
          <w:rFonts w:hint="eastAsia" w:ascii="仿宋" w:hAnsi="仿宋" w:eastAsia="仿宋" w:cs="仿宋"/>
          <w:sz w:val="32"/>
          <w:szCs w:val="24"/>
          <w:lang w:val="en-US" w:eastAsia="zh-CN"/>
        </w:rPr>
        <w:t xml:space="preserve">                      涞源县幸福大街与惠民路交叉口</w:t>
      </w:r>
    </w:p>
    <w:p>
      <w:pPr>
        <w:pStyle w:val="2"/>
        <w:rPr>
          <w:rFonts w:hint="default"/>
          <w:lang w:val="en-US" w:eastAsia="zh-CN"/>
        </w:rPr>
      </w:pPr>
      <w:r>
        <w:rPr>
          <w:rFonts w:hint="eastAsia" w:ascii="仿宋" w:hAnsi="仿宋" w:eastAsia="仿宋" w:cs="仿宋"/>
          <w:sz w:val="32"/>
          <w:szCs w:val="24"/>
          <w:lang w:val="en-US" w:eastAsia="zh-CN"/>
        </w:rPr>
        <w:t xml:space="preserve">                  各乡镇卫生院</w:t>
      </w:r>
    </w:p>
    <w:p>
      <w:pPr>
        <w:pStyle w:val="2"/>
        <w:ind w:left="0" w:leftChars="0" w:firstLine="632" w:firstLineChars="200"/>
        <w:rPr>
          <w:rFonts w:hint="default"/>
          <w:lang w:val="en-US" w:eastAsia="zh-CN"/>
        </w:rPr>
      </w:pPr>
      <w:r>
        <w:rPr>
          <w:rFonts w:hint="eastAsia" w:hAnsi="宋体" w:cs="宋体"/>
          <w:sz w:val="32"/>
          <w:szCs w:val="24"/>
          <w:lang w:val="en-US" w:eastAsia="zh-CN"/>
        </w:rPr>
        <w:t>非正常死亡办理地点：</w:t>
      </w:r>
      <w:r>
        <w:rPr>
          <w:rFonts w:hint="eastAsia" w:ascii="仿宋" w:hAnsi="仿宋" w:eastAsia="仿宋" w:cs="仿宋"/>
          <w:sz w:val="32"/>
          <w:szCs w:val="24"/>
          <w:lang w:val="en-US" w:eastAsia="zh-CN"/>
        </w:rPr>
        <w:t>涞源县广平北大街瑞康嘉园北侧约120米。</w:t>
      </w:r>
    </w:p>
    <w:p>
      <w:pPr>
        <w:spacing w:line="560" w:lineRule="exact"/>
        <w:ind w:firstLine="640" w:firstLineChars="200"/>
        <w:rPr>
          <w:rFonts w:hint="eastAsia" w:ascii="黑体" w:hAnsi="黑体" w:eastAsia="黑体" w:cs="宋体"/>
          <w:bCs/>
          <w:sz w:val="32"/>
          <w:szCs w:val="24"/>
        </w:rPr>
      </w:pPr>
      <w:r>
        <w:rPr>
          <w:rFonts w:hint="eastAsia" w:ascii="黑体" w:hAnsi="黑体" w:eastAsia="黑体" w:cs="宋体"/>
          <w:bCs/>
          <w:sz w:val="32"/>
          <w:szCs w:val="24"/>
        </w:rPr>
        <w:t>十二、电话</w:t>
      </w:r>
    </w:p>
    <w:p>
      <w:pPr>
        <w:spacing w:line="560" w:lineRule="exact"/>
        <w:ind w:firstLine="640" w:firstLineChars="200"/>
        <w:rPr>
          <w:rFonts w:hint="eastAsia" w:ascii="楷体_GB2312" w:hAnsi="宋体" w:eastAsia="楷体_GB2312" w:cs="宋体"/>
          <w:sz w:val="32"/>
          <w:szCs w:val="24"/>
        </w:rPr>
      </w:pPr>
      <w:r>
        <w:rPr>
          <w:rFonts w:hint="eastAsia" w:ascii="楷体_GB2312" w:hAnsi="宋体" w:eastAsia="楷体_GB2312" w:cs="宋体"/>
          <w:sz w:val="32"/>
          <w:szCs w:val="24"/>
        </w:rPr>
        <w:t>（一）咨询电话</w:t>
      </w:r>
    </w:p>
    <w:p>
      <w:pPr>
        <w:pStyle w:val="2"/>
        <w:ind w:left="0" w:leftChars="0" w:firstLine="632" w:firstLineChars="200"/>
        <w:rPr>
          <w:rFonts w:hint="eastAsia" w:ascii="仿宋" w:hAnsi="仿宋" w:eastAsia="仿宋" w:cs="仿宋"/>
          <w:sz w:val="32"/>
          <w:szCs w:val="24"/>
          <w:lang w:val="en-US" w:eastAsia="zh-CN"/>
        </w:rPr>
      </w:pPr>
      <w:r>
        <w:rPr>
          <w:rFonts w:hint="eastAsia" w:ascii="仿宋" w:hAnsi="仿宋" w:eastAsia="仿宋" w:cs="仿宋"/>
          <w:sz w:val="32"/>
          <w:szCs w:val="24"/>
          <w:lang w:eastAsia="zh-CN"/>
        </w:rPr>
        <w:t>涞源县卫生健康局：</w:t>
      </w:r>
      <w:r>
        <w:rPr>
          <w:rFonts w:hint="eastAsia" w:ascii="仿宋" w:hAnsi="仿宋" w:eastAsia="仿宋" w:cs="仿宋"/>
          <w:sz w:val="32"/>
          <w:szCs w:val="24"/>
          <w:lang w:val="en-US" w:eastAsia="zh-CN"/>
        </w:rPr>
        <w:t>0312-7333721</w:t>
      </w:r>
    </w:p>
    <w:p>
      <w:pPr>
        <w:pStyle w:val="2"/>
        <w:ind w:left="0" w:leftChars="0" w:firstLine="632" w:firstLineChars="200"/>
        <w:rPr>
          <w:rFonts w:hint="default" w:eastAsia="仿宋_GB2312"/>
          <w:lang w:val="en-US" w:eastAsia="zh-CN"/>
        </w:rPr>
      </w:pPr>
      <w:r>
        <w:rPr>
          <w:rFonts w:hint="eastAsia" w:hAnsi="宋体" w:cs="宋体"/>
          <w:sz w:val="32"/>
          <w:szCs w:val="24"/>
          <w:lang w:eastAsia="zh-CN"/>
        </w:rPr>
        <w:t>公安局电话：</w:t>
      </w:r>
      <w:r>
        <w:rPr>
          <w:rFonts w:hint="eastAsia" w:hAnsi="宋体" w:cs="宋体"/>
          <w:sz w:val="32"/>
          <w:szCs w:val="24"/>
          <w:lang w:val="en-US" w:eastAsia="zh-CN"/>
        </w:rPr>
        <w:t>0312-7319009</w:t>
      </w:r>
    </w:p>
    <w:p>
      <w:pPr>
        <w:spacing w:line="560" w:lineRule="exact"/>
        <w:ind w:firstLine="640" w:firstLineChars="200"/>
        <w:rPr>
          <w:rFonts w:hint="eastAsia" w:ascii="楷体_GB2312" w:hAnsi="宋体" w:eastAsia="楷体_GB2312" w:cs="宋体"/>
          <w:sz w:val="32"/>
          <w:szCs w:val="24"/>
        </w:rPr>
      </w:pPr>
      <w:r>
        <w:rPr>
          <w:rFonts w:hint="eastAsia" w:ascii="楷体_GB2312" w:hAnsi="宋体" w:eastAsia="楷体_GB2312" w:cs="宋体"/>
          <w:sz w:val="32"/>
          <w:szCs w:val="24"/>
        </w:rPr>
        <w:t>（二）投诉电话</w:t>
      </w:r>
    </w:p>
    <w:p>
      <w:pPr>
        <w:spacing w:line="560" w:lineRule="exact"/>
        <w:ind w:firstLine="640" w:firstLineChars="200"/>
        <w:rPr>
          <w:rFonts w:hint="default" w:ascii="仿宋_GB2312" w:hAnsi="宋体" w:eastAsia="仿宋_GB2312" w:cs="宋体"/>
          <w:sz w:val="32"/>
          <w:szCs w:val="24"/>
          <w:lang w:val="en-US" w:eastAsia="zh-CN"/>
        </w:rPr>
      </w:pPr>
      <w:r>
        <w:rPr>
          <w:rFonts w:hint="eastAsia" w:ascii="仿宋_GB2312" w:hAnsi="宋体" w:eastAsia="仿宋_GB2312" w:cs="宋体"/>
          <w:sz w:val="32"/>
          <w:szCs w:val="24"/>
          <w:lang w:eastAsia="zh-CN"/>
        </w:rPr>
        <w:t>卫健局电话：</w:t>
      </w:r>
      <w:r>
        <w:rPr>
          <w:rFonts w:hint="eastAsia" w:ascii="仿宋_GB2312" w:hAnsi="宋体" w:eastAsia="仿宋_GB2312" w:cs="宋体"/>
          <w:sz w:val="32"/>
          <w:szCs w:val="24"/>
        </w:rPr>
        <w:t>0312-</w:t>
      </w:r>
      <w:r>
        <w:rPr>
          <w:rFonts w:hint="eastAsia" w:ascii="仿宋_GB2312" w:hAnsi="宋体" w:eastAsia="仿宋_GB2312" w:cs="宋体"/>
          <w:sz w:val="32"/>
          <w:szCs w:val="24"/>
          <w:lang w:val="en-US" w:eastAsia="zh-CN"/>
        </w:rPr>
        <w:t>7321653</w:t>
      </w:r>
      <w:bookmarkStart w:id="0" w:name="_GoBack"/>
      <w:bookmarkEnd w:id="0"/>
    </w:p>
    <w:p>
      <w:pPr>
        <w:pStyle w:val="2"/>
        <w:rPr>
          <w:rFonts w:hint="default" w:eastAsia="仿宋_GB2312"/>
          <w:lang w:val="en-US" w:eastAsia="zh-CN"/>
        </w:rPr>
      </w:pPr>
      <w:r>
        <w:rPr>
          <w:rFonts w:hint="eastAsia" w:hAnsi="宋体" w:cs="宋体"/>
          <w:sz w:val="32"/>
          <w:szCs w:val="24"/>
          <w:lang w:eastAsia="zh-CN"/>
        </w:rPr>
        <w:t>公安局电话：</w:t>
      </w:r>
      <w:r>
        <w:rPr>
          <w:rFonts w:hint="eastAsia" w:hAnsi="宋体" w:cs="宋体"/>
          <w:sz w:val="32"/>
          <w:szCs w:val="24"/>
          <w:lang w:val="en-US" w:eastAsia="zh-CN"/>
        </w:rPr>
        <w:t>0312-7325723</w:t>
      </w:r>
    </w:p>
    <w:p>
      <w:pPr>
        <w:spacing w:line="560" w:lineRule="exact"/>
        <w:ind w:firstLine="640" w:firstLineChars="200"/>
        <w:rPr>
          <w:rFonts w:hint="eastAsia" w:ascii="黑体" w:hAnsi="黑体" w:eastAsia="黑体" w:cs="宋体"/>
          <w:sz w:val="32"/>
          <w:szCs w:val="24"/>
        </w:rPr>
      </w:pPr>
      <w:r>
        <w:rPr>
          <w:rFonts w:hint="eastAsia" w:ascii="黑体" w:hAnsi="黑体" w:eastAsia="黑体" w:cs="宋体"/>
          <w:sz w:val="32"/>
          <w:szCs w:val="24"/>
        </w:rPr>
        <w:t>十三、收费事项</w:t>
      </w:r>
    </w:p>
    <w:p>
      <w:pPr>
        <w:spacing w:line="600" w:lineRule="exact"/>
        <w:ind w:firstLine="640" w:firstLineChars="200"/>
        <w:outlineLvl w:val="0"/>
        <w:rPr>
          <w:rFonts w:ascii="仿宋" w:hAnsi="仿宋" w:eastAsia="仿宋" w:cs="宋体"/>
          <w:kern w:val="0"/>
          <w:sz w:val="32"/>
          <w:szCs w:val="32"/>
        </w:rPr>
      </w:pPr>
      <w:r>
        <w:rPr>
          <w:rFonts w:hint="eastAsia" w:ascii="仿宋" w:hAnsi="仿宋" w:eastAsia="仿宋" w:cs="宋体"/>
          <w:kern w:val="0"/>
          <w:sz w:val="32"/>
          <w:szCs w:val="32"/>
        </w:rPr>
        <w:t>无（邮寄服务费按寄递服务标准另行收取）</w:t>
      </w:r>
    </w:p>
    <w:p>
      <w:pPr>
        <w:pStyle w:val="12"/>
      </w:pPr>
    </w:p>
    <w:sectPr>
      <w:pgSz w:w="11906" w:h="16838"/>
      <w:pgMar w:top="1531" w:right="1474" w:bottom="1474" w:left="1474" w:header="1111" w:footer="1191"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4359B71-30E3-4FC3-A4F6-5D5B9971D61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CE9C2FD5-53CC-4165-9FD0-A45C0DC5E3ED}"/>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embedRegular r:id="rId3" w:fontKey="{AC65E737-AE6B-49C7-9EAC-5E2E677C14A3}"/>
  </w:font>
  <w:font w:name="微软雅黑">
    <w:panose1 w:val="020B0503020204020204"/>
    <w:charset w:val="86"/>
    <w:family w:val="swiss"/>
    <w:pitch w:val="default"/>
    <w:sig w:usb0="80000287" w:usb1="280F3C52" w:usb2="00000016" w:usb3="00000000" w:csb0="0004001F" w:csb1="00000000"/>
  </w:font>
  <w:font w:name="方正小标宋简体">
    <w:panose1 w:val="02000000000000000000"/>
    <w:charset w:val="86"/>
    <w:family w:val="script"/>
    <w:pitch w:val="default"/>
    <w:sig w:usb0="00000001" w:usb1="08000000" w:usb2="00000000" w:usb3="00000000" w:csb0="00040000" w:csb1="00000000"/>
    <w:embedRegular r:id="rId4" w:fontKey="{F8E4B0B6-B54A-4D63-B04B-35AAAF3A988D}"/>
  </w:font>
  <w:font w:name="楷体_GB2312">
    <w:panose1 w:val="02010609030101010101"/>
    <w:charset w:val="86"/>
    <w:family w:val="modern"/>
    <w:pitch w:val="default"/>
    <w:sig w:usb0="00000001" w:usb1="080E0000" w:usb2="00000000" w:usb3="00000000" w:csb0="00040000" w:csb1="00000000"/>
    <w:embedRegular r:id="rId5" w:fontKey="{7D34C210-FAE8-43C2-A1E1-B231D9B208DA}"/>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2C6AB7"/>
    <w:multiLevelType w:val="multilevel"/>
    <w:tmpl w:val="452C6AB7"/>
    <w:lvl w:ilvl="0" w:tentative="0">
      <w:start w:val="1"/>
      <w:numFmt w:val="decimal"/>
      <w:lvlText w:val="第%1章."/>
      <w:lvlJc w:val="left"/>
      <w:pPr>
        <w:ind w:left="420" w:hanging="420"/>
      </w:pPr>
      <w:rPr>
        <w:rFonts w:hint="eastAsia"/>
        <w:caps w:val="0"/>
      </w:rPr>
    </w:lvl>
    <w:lvl w:ilvl="1" w:tentative="0">
      <w:start w:val="1"/>
      <w:numFmt w:val="decimal"/>
      <w:pStyle w:val="3"/>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oNotHyphenateCaps/>
  <w:evenAndOddHeaders w:val="1"/>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kY2Q0YzBlZjU5Yzc4OTcyZjJjMGM2MTc5NDhjZDcifQ=="/>
  </w:docVars>
  <w:rsids>
    <w:rsidRoot w:val="343B2ED3"/>
    <w:rsid w:val="0000663F"/>
    <w:rsid w:val="00011754"/>
    <w:rsid w:val="000139B3"/>
    <w:rsid w:val="000462FF"/>
    <w:rsid w:val="00053EAC"/>
    <w:rsid w:val="00073E1C"/>
    <w:rsid w:val="0007671B"/>
    <w:rsid w:val="000817D5"/>
    <w:rsid w:val="000A7501"/>
    <w:rsid w:val="000D0D71"/>
    <w:rsid w:val="000F40DD"/>
    <w:rsid w:val="00105C36"/>
    <w:rsid w:val="001153FD"/>
    <w:rsid w:val="00127131"/>
    <w:rsid w:val="00134B60"/>
    <w:rsid w:val="001364FB"/>
    <w:rsid w:val="00144437"/>
    <w:rsid w:val="00160D7D"/>
    <w:rsid w:val="001831AE"/>
    <w:rsid w:val="001858FC"/>
    <w:rsid w:val="0019428A"/>
    <w:rsid w:val="00197D3E"/>
    <w:rsid w:val="001A2FAE"/>
    <w:rsid w:val="001B78ED"/>
    <w:rsid w:val="001C32BD"/>
    <w:rsid w:val="001D429E"/>
    <w:rsid w:val="001E1104"/>
    <w:rsid w:val="001E5B58"/>
    <w:rsid w:val="001F3475"/>
    <w:rsid w:val="00204FA8"/>
    <w:rsid w:val="00225DD8"/>
    <w:rsid w:val="00226EC2"/>
    <w:rsid w:val="0023085F"/>
    <w:rsid w:val="00253EB3"/>
    <w:rsid w:val="0025584D"/>
    <w:rsid w:val="00276679"/>
    <w:rsid w:val="0027715A"/>
    <w:rsid w:val="00280C95"/>
    <w:rsid w:val="002A2688"/>
    <w:rsid w:val="002C3D37"/>
    <w:rsid w:val="002F03AC"/>
    <w:rsid w:val="002F6ACD"/>
    <w:rsid w:val="0030564C"/>
    <w:rsid w:val="003068F2"/>
    <w:rsid w:val="00306A3C"/>
    <w:rsid w:val="0033240A"/>
    <w:rsid w:val="00336F9C"/>
    <w:rsid w:val="00343F5E"/>
    <w:rsid w:val="0036401A"/>
    <w:rsid w:val="00391DE8"/>
    <w:rsid w:val="003C79FF"/>
    <w:rsid w:val="003D5D25"/>
    <w:rsid w:val="003D75EF"/>
    <w:rsid w:val="00411D2D"/>
    <w:rsid w:val="004271D9"/>
    <w:rsid w:val="00430BC1"/>
    <w:rsid w:val="0043124A"/>
    <w:rsid w:val="00440A5D"/>
    <w:rsid w:val="004A13AD"/>
    <w:rsid w:val="004A2FB4"/>
    <w:rsid w:val="004B2C97"/>
    <w:rsid w:val="004B38DC"/>
    <w:rsid w:val="004D3594"/>
    <w:rsid w:val="00511071"/>
    <w:rsid w:val="005134AF"/>
    <w:rsid w:val="00514691"/>
    <w:rsid w:val="00515484"/>
    <w:rsid w:val="00517BDC"/>
    <w:rsid w:val="00524037"/>
    <w:rsid w:val="00545D2B"/>
    <w:rsid w:val="005538E1"/>
    <w:rsid w:val="00576F25"/>
    <w:rsid w:val="00581077"/>
    <w:rsid w:val="005815AB"/>
    <w:rsid w:val="00594E77"/>
    <w:rsid w:val="00595722"/>
    <w:rsid w:val="00597E62"/>
    <w:rsid w:val="005E0C04"/>
    <w:rsid w:val="005E3719"/>
    <w:rsid w:val="005F2EAB"/>
    <w:rsid w:val="00603342"/>
    <w:rsid w:val="00637D09"/>
    <w:rsid w:val="006564AA"/>
    <w:rsid w:val="00672ECA"/>
    <w:rsid w:val="00680F14"/>
    <w:rsid w:val="0068184E"/>
    <w:rsid w:val="00682667"/>
    <w:rsid w:val="00682AD2"/>
    <w:rsid w:val="00682B38"/>
    <w:rsid w:val="00686960"/>
    <w:rsid w:val="006B788E"/>
    <w:rsid w:val="006C66E0"/>
    <w:rsid w:val="006D25BA"/>
    <w:rsid w:val="006D3D78"/>
    <w:rsid w:val="00702774"/>
    <w:rsid w:val="00733AD5"/>
    <w:rsid w:val="0073542A"/>
    <w:rsid w:val="007666AB"/>
    <w:rsid w:val="007A3E2C"/>
    <w:rsid w:val="007A69AF"/>
    <w:rsid w:val="007C204A"/>
    <w:rsid w:val="007D3D29"/>
    <w:rsid w:val="007F0A87"/>
    <w:rsid w:val="00801886"/>
    <w:rsid w:val="00824A17"/>
    <w:rsid w:val="00844955"/>
    <w:rsid w:val="00853E28"/>
    <w:rsid w:val="008572E7"/>
    <w:rsid w:val="00884A49"/>
    <w:rsid w:val="00891F90"/>
    <w:rsid w:val="0089580D"/>
    <w:rsid w:val="008A2D1C"/>
    <w:rsid w:val="008A7E14"/>
    <w:rsid w:val="008B4FD3"/>
    <w:rsid w:val="008D5717"/>
    <w:rsid w:val="008E26E6"/>
    <w:rsid w:val="008F3D2C"/>
    <w:rsid w:val="008F644C"/>
    <w:rsid w:val="008F7324"/>
    <w:rsid w:val="008F7FFD"/>
    <w:rsid w:val="00917F93"/>
    <w:rsid w:val="00921FEE"/>
    <w:rsid w:val="0094525D"/>
    <w:rsid w:val="00950906"/>
    <w:rsid w:val="00950B69"/>
    <w:rsid w:val="00953815"/>
    <w:rsid w:val="00954321"/>
    <w:rsid w:val="00955C74"/>
    <w:rsid w:val="00962929"/>
    <w:rsid w:val="009809CA"/>
    <w:rsid w:val="009824D4"/>
    <w:rsid w:val="0098704F"/>
    <w:rsid w:val="00995D67"/>
    <w:rsid w:val="009A1916"/>
    <w:rsid w:val="009A7997"/>
    <w:rsid w:val="009E1118"/>
    <w:rsid w:val="009E1823"/>
    <w:rsid w:val="009E5AFD"/>
    <w:rsid w:val="009F2B88"/>
    <w:rsid w:val="009F74A9"/>
    <w:rsid w:val="00A0034D"/>
    <w:rsid w:val="00A16F36"/>
    <w:rsid w:val="00A405AE"/>
    <w:rsid w:val="00A41923"/>
    <w:rsid w:val="00A42017"/>
    <w:rsid w:val="00A46ED9"/>
    <w:rsid w:val="00A753D9"/>
    <w:rsid w:val="00A83852"/>
    <w:rsid w:val="00A960E9"/>
    <w:rsid w:val="00AA173D"/>
    <w:rsid w:val="00AB45DF"/>
    <w:rsid w:val="00AC1EF4"/>
    <w:rsid w:val="00AD2C7C"/>
    <w:rsid w:val="00AD640F"/>
    <w:rsid w:val="00AF16BA"/>
    <w:rsid w:val="00AF6323"/>
    <w:rsid w:val="00B04790"/>
    <w:rsid w:val="00B323A5"/>
    <w:rsid w:val="00B43E97"/>
    <w:rsid w:val="00B83EED"/>
    <w:rsid w:val="00B8703C"/>
    <w:rsid w:val="00B96335"/>
    <w:rsid w:val="00BA4436"/>
    <w:rsid w:val="00BC3E09"/>
    <w:rsid w:val="00BD1AB9"/>
    <w:rsid w:val="00C1302B"/>
    <w:rsid w:val="00C33632"/>
    <w:rsid w:val="00C35FBB"/>
    <w:rsid w:val="00C4716C"/>
    <w:rsid w:val="00C6347E"/>
    <w:rsid w:val="00C759F3"/>
    <w:rsid w:val="00CB0235"/>
    <w:rsid w:val="00CB126B"/>
    <w:rsid w:val="00CC3482"/>
    <w:rsid w:val="00CD03BD"/>
    <w:rsid w:val="00CE1E8B"/>
    <w:rsid w:val="00CE2E7B"/>
    <w:rsid w:val="00CE6D90"/>
    <w:rsid w:val="00CF5F59"/>
    <w:rsid w:val="00D10B02"/>
    <w:rsid w:val="00D15A2E"/>
    <w:rsid w:val="00D16BBD"/>
    <w:rsid w:val="00D2105C"/>
    <w:rsid w:val="00D25AB3"/>
    <w:rsid w:val="00D34B72"/>
    <w:rsid w:val="00D37B3F"/>
    <w:rsid w:val="00D46469"/>
    <w:rsid w:val="00D55988"/>
    <w:rsid w:val="00D6534E"/>
    <w:rsid w:val="00D67091"/>
    <w:rsid w:val="00D73CFC"/>
    <w:rsid w:val="00D83160"/>
    <w:rsid w:val="00D86C48"/>
    <w:rsid w:val="00D964A1"/>
    <w:rsid w:val="00DC0F7F"/>
    <w:rsid w:val="00DE0B39"/>
    <w:rsid w:val="00E007FE"/>
    <w:rsid w:val="00E22ACB"/>
    <w:rsid w:val="00E25377"/>
    <w:rsid w:val="00E43939"/>
    <w:rsid w:val="00E5229A"/>
    <w:rsid w:val="00E763BA"/>
    <w:rsid w:val="00E872D6"/>
    <w:rsid w:val="00EB4551"/>
    <w:rsid w:val="00EC60BC"/>
    <w:rsid w:val="00ED4577"/>
    <w:rsid w:val="00EE2784"/>
    <w:rsid w:val="00EE2E89"/>
    <w:rsid w:val="00EF3328"/>
    <w:rsid w:val="00F00BB7"/>
    <w:rsid w:val="00F12DCA"/>
    <w:rsid w:val="00F22DBB"/>
    <w:rsid w:val="00F40A9B"/>
    <w:rsid w:val="00F63E9E"/>
    <w:rsid w:val="00F738EC"/>
    <w:rsid w:val="00FA73A8"/>
    <w:rsid w:val="00FB20B6"/>
    <w:rsid w:val="00FB7E2A"/>
    <w:rsid w:val="00FC7307"/>
    <w:rsid w:val="00FD1BED"/>
    <w:rsid w:val="00FD6563"/>
    <w:rsid w:val="01641002"/>
    <w:rsid w:val="019B53E2"/>
    <w:rsid w:val="02412650"/>
    <w:rsid w:val="04A523B0"/>
    <w:rsid w:val="04A52B11"/>
    <w:rsid w:val="05205CA8"/>
    <w:rsid w:val="05BE5B43"/>
    <w:rsid w:val="06E00FC5"/>
    <w:rsid w:val="070F40B7"/>
    <w:rsid w:val="074431FD"/>
    <w:rsid w:val="08C26796"/>
    <w:rsid w:val="09671241"/>
    <w:rsid w:val="096B3E7F"/>
    <w:rsid w:val="09863727"/>
    <w:rsid w:val="0A502567"/>
    <w:rsid w:val="0B916FE6"/>
    <w:rsid w:val="0B93731D"/>
    <w:rsid w:val="0CB459C0"/>
    <w:rsid w:val="0D0E44B0"/>
    <w:rsid w:val="0D1744B6"/>
    <w:rsid w:val="0E687F2A"/>
    <w:rsid w:val="0EBF751E"/>
    <w:rsid w:val="0F343305"/>
    <w:rsid w:val="0F855466"/>
    <w:rsid w:val="10F37D05"/>
    <w:rsid w:val="114601F0"/>
    <w:rsid w:val="129C139A"/>
    <w:rsid w:val="13053C55"/>
    <w:rsid w:val="13680352"/>
    <w:rsid w:val="15E963F2"/>
    <w:rsid w:val="15F1683B"/>
    <w:rsid w:val="15FF0520"/>
    <w:rsid w:val="16EB13FF"/>
    <w:rsid w:val="1705562C"/>
    <w:rsid w:val="17401066"/>
    <w:rsid w:val="174E26DB"/>
    <w:rsid w:val="17694918"/>
    <w:rsid w:val="18A755A9"/>
    <w:rsid w:val="19C87349"/>
    <w:rsid w:val="19E63D66"/>
    <w:rsid w:val="1A486799"/>
    <w:rsid w:val="1A4F010B"/>
    <w:rsid w:val="1A766595"/>
    <w:rsid w:val="1AC10212"/>
    <w:rsid w:val="1BDB6025"/>
    <w:rsid w:val="1C405371"/>
    <w:rsid w:val="1D241FD7"/>
    <w:rsid w:val="1D492110"/>
    <w:rsid w:val="1D9B122B"/>
    <w:rsid w:val="1DBC6BBF"/>
    <w:rsid w:val="1FA45376"/>
    <w:rsid w:val="203F6074"/>
    <w:rsid w:val="205A41A8"/>
    <w:rsid w:val="20B57847"/>
    <w:rsid w:val="21643E4E"/>
    <w:rsid w:val="228C1C12"/>
    <w:rsid w:val="23940DD8"/>
    <w:rsid w:val="24131A30"/>
    <w:rsid w:val="24C76FB8"/>
    <w:rsid w:val="254342F5"/>
    <w:rsid w:val="25777D91"/>
    <w:rsid w:val="26C90092"/>
    <w:rsid w:val="27580DA9"/>
    <w:rsid w:val="27FE62A7"/>
    <w:rsid w:val="28965B65"/>
    <w:rsid w:val="28C11AFC"/>
    <w:rsid w:val="295C0652"/>
    <w:rsid w:val="29661FE7"/>
    <w:rsid w:val="29B94D68"/>
    <w:rsid w:val="2A9845E5"/>
    <w:rsid w:val="2AF31283"/>
    <w:rsid w:val="2B5A2E9E"/>
    <w:rsid w:val="2BF11C22"/>
    <w:rsid w:val="2C0720A4"/>
    <w:rsid w:val="2C10486D"/>
    <w:rsid w:val="2C8E043E"/>
    <w:rsid w:val="2CD116F4"/>
    <w:rsid w:val="2D7B3C44"/>
    <w:rsid w:val="2E562E85"/>
    <w:rsid w:val="2E577F1A"/>
    <w:rsid w:val="2E750E99"/>
    <w:rsid w:val="2E9F309D"/>
    <w:rsid w:val="2EF86D11"/>
    <w:rsid w:val="2FBD4E57"/>
    <w:rsid w:val="30254318"/>
    <w:rsid w:val="30BB2733"/>
    <w:rsid w:val="30DD0CC4"/>
    <w:rsid w:val="310D0518"/>
    <w:rsid w:val="32475225"/>
    <w:rsid w:val="32733317"/>
    <w:rsid w:val="333263C6"/>
    <w:rsid w:val="33415E88"/>
    <w:rsid w:val="33BC21A1"/>
    <w:rsid w:val="343B2ED3"/>
    <w:rsid w:val="345E347E"/>
    <w:rsid w:val="34AD2182"/>
    <w:rsid w:val="34CC5132"/>
    <w:rsid w:val="35483EA6"/>
    <w:rsid w:val="36031EA3"/>
    <w:rsid w:val="36E843CA"/>
    <w:rsid w:val="36EF231D"/>
    <w:rsid w:val="36F94EF5"/>
    <w:rsid w:val="371F4769"/>
    <w:rsid w:val="37EF0D5E"/>
    <w:rsid w:val="38F722E0"/>
    <w:rsid w:val="390A25B7"/>
    <w:rsid w:val="390D378D"/>
    <w:rsid w:val="39512DB1"/>
    <w:rsid w:val="397F7D46"/>
    <w:rsid w:val="39C37E10"/>
    <w:rsid w:val="3A2376E1"/>
    <w:rsid w:val="3A71691B"/>
    <w:rsid w:val="3BDD5262"/>
    <w:rsid w:val="3BF80169"/>
    <w:rsid w:val="3CB13A9A"/>
    <w:rsid w:val="3CEA01C0"/>
    <w:rsid w:val="3DC4602D"/>
    <w:rsid w:val="3E1A4571"/>
    <w:rsid w:val="3E3F440D"/>
    <w:rsid w:val="3EBA6882"/>
    <w:rsid w:val="3F473A44"/>
    <w:rsid w:val="3F805558"/>
    <w:rsid w:val="3FFB3E91"/>
    <w:rsid w:val="40CC148B"/>
    <w:rsid w:val="42393448"/>
    <w:rsid w:val="42E254FD"/>
    <w:rsid w:val="43553703"/>
    <w:rsid w:val="43865926"/>
    <w:rsid w:val="439B3EFF"/>
    <w:rsid w:val="44707D0C"/>
    <w:rsid w:val="44C91ACA"/>
    <w:rsid w:val="44F64EEC"/>
    <w:rsid w:val="450E2CA8"/>
    <w:rsid w:val="452422EB"/>
    <w:rsid w:val="457C09A0"/>
    <w:rsid w:val="459B3C92"/>
    <w:rsid w:val="45AB4C1C"/>
    <w:rsid w:val="45DC6777"/>
    <w:rsid w:val="46184475"/>
    <w:rsid w:val="4626651F"/>
    <w:rsid w:val="466A5920"/>
    <w:rsid w:val="471B6F37"/>
    <w:rsid w:val="48C2131E"/>
    <w:rsid w:val="49455FBA"/>
    <w:rsid w:val="49635DB3"/>
    <w:rsid w:val="498C74AC"/>
    <w:rsid w:val="4B2708F7"/>
    <w:rsid w:val="4B6808EB"/>
    <w:rsid w:val="4BC71815"/>
    <w:rsid w:val="4C3674B2"/>
    <w:rsid w:val="4C6A7458"/>
    <w:rsid w:val="4C757662"/>
    <w:rsid w:val="4CAB7E87"/>
    <w:rsid w:val="4D534CBF"/>
    <w:rsid w:val="4D6C20BB"/>
    <w:rsid w:val="4D774FCB"/>
    <w:rsid w:val="4DBD7495"/>
    <w:rsid w:val="4F244A9D"/>
    <w:rsid w:val="500A4F5B"/>
    <w:rsid w:val="504D67F1"/>
    <w:rsid w:val="50700DB5"/>
    <w:rsid w:val="508D33BC"/>
    <w:rsid w:val="509D6F03"/>
    <w:rsid w:val="511C2154"/>
    <w:rsid w:val="51401322"/>
    <w:rsid w:val="52881E1A"/>
    <w:rsid w:val="52C259A9"/>
    <w:rsid w:val="532C4283"/>
    <w:rsid w:val="534E43AD"/>
    <w:rsid w:val="53EA532D"/>
    <w:rsid w:val="53F16263"/>
    <w:rsid w:val="55441993"/>
    <w:rsid w:val="560B7690"/>
    <w:rsid w:val="56DD5230"/>
    <w:rsid w:val="56EA7EF4"/>
    <w:rsid w:val="574017FF"/>
    <w:rsid w:val="57B236D6"/>
    <w:rsid w:val="57D37352"/>
    <w:rsid w:val="58244DF8"/>
    <w:rsid w:val="584F4E4E"/>
    <w:rsid w:val="58940434"/>
    <w:rsid w:val="58AD3562"/>
    <w:rsid w:val="58AE50F4"/>
    <w:rsid w:val="5922219E"/>
    <w:rsid w:val="59330925"/>
    <w:rsid w:val="5A037F7F"/>
    <w:rsid w:val="5AEA5923"/>
    <w:rsid w:val="5B1E4CCF"/>
    <w:rsid w:val="5B602EFB"/>
    <w:rsid w:val="5B740BC2"/>
    <w:rsid w:val="5C195EC6"/>
    <w:rsid w:val="5CE32F05"/>
    <w:rsid w:val="5D0434C4"/>
    <w:rsid w:val="5DCE60B6"/>
    <w:rsid w:val="5DE03776"/>
    <w:rsid w:val="5DE26749"/>
    <w:rsid w:val="5DF37897"/>
    <w:rsid w:val="5E0A5B47"/>
    <w:rsid w:val="5E321A0F"/>
    <w:rsid w:val="5E9258A2"/>
    <w:rsid w:val="5F161101"/>
    <w:rsid w:val="5F8A0EAE"/>
    <w:rsid w:val="61047319"/>
    <w:rsid w:val="61176CD3"/>
    <w:rsid w:val="6153496A"/>
    <w:rsid w:val="61E75DCD"/>
    <w:rsid w:val="62C8280A"/>
    <w:rsid w:val="633903F3"/>
    <w:rsid w:val="64357125"/>
    <w:rsid w:val="65A85DFC"/>
    <w:rsid w:val="65D16F49"/>
    <w:rsid w:val="65DF1371"/>
    <w:rsid w:val="668B0ED8"/>
    <w:rsid w:val="674566A0"/>
    <w:rsid w:val="678B6050"/>
    <w:rsid w:val="67D05470"/>
    <w:rsid w:val="6891207B"/>
    <w:rsid w:val="69393550"/>
    <w:rsid w:val="6AF1251A"/>
    <w:rsid w:val="6B482CB2"/>
    <w:rsid w:val="6CDE0359"/>
    <w:rsid w:val="6D236457"/>
    <w:rsid w:val="6D795705"/>
    <w:rsid w:val="6DF637BA"/>
    <w:rsid w:val="6E09447D"/>
    <w:rsid w:val="6EBF1882"/>
    <w:rsid w:val="6F150D87"/>
    <w:rsid w:val="6F5A4A8C"/>
    <w:rsid w:val="6FAB6B9B"/>
    <w:rsid w:val="6FB502DA"/>
    <w:rsid w:val="6FF65AC5"/>
    <w:rsid w:val="7199674D"/>
    <w:rsid w:val="71CA507F"/>
    <w:rsid w:val="71E74BF9"/>
    <w:rsid w:val="71EC1BC7"/>
    <w:rsid w:val="72B279A1"/>
    <w:rsid w:val="738544D8"/>
    <w:rsid w:val="73F12A38"/>
    <w:rsid w:val="740C08C4"/>
    <w:rsid w:val="741B5CAB"/>
    <w:rsid w:val="75D603A7"/>
    <w:rsid w:val="765F032F"/>
    <w:rsid w:val="76C94B74"/>
    <w:rsid w:val="77C05536"/>
    <w:rsid w:val="7903436A"/>
    <w:rsid w:val="793C7688"/>
    <w:rsid w:val="79440F78"/>
    <w:rsid w:val="79991AF9"/>
    <w:rsid w:val="79F73F62"/>
    <w:rsid w:val="79F8058C"/>
    <w:rsid w:val="7A3946DB"/>
    <w:rsid w:val="7AF36A6A"/>
    <w:rsid w:val="7AFB41F3"/>
    <w:rsid w:val="7C3E2038"/>
    <w:rsid w:val="7DD26A02"/>
    <w:rsid w:val="7E52692B"/>
    <w:rsid w:val="7E766FBD"/>
    <w:rsid w:val="7F1A638B"/>
    <w:rsid w:val="7FED6F4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qFormat="1"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qFormat="1" w:uiPriority="99" w:name="HTML Typewriter"/>
    <w:lsdException w:qFormat="1" w:unhideWhenUsed="0"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2"/>
    <w:basedOn w:val="1"/>
    <w:next w:val="1"/>
    <w:link w:val="29"/>
    <w:qFormat/>
    <w:uiPriority w:val="99"/>
    <w:pPr>
      <w:keepNext/>
      <w:keepLines/>
      <w:numPr>
        <w:ilvl w:val="1"/>
        <w:numId w:val="1"/>
      </w:numPr>
      <w:tabs>
        <w:tab w:val="left" w:pos="426"/>
      </w:tabs>
      <w:spacing w:before="120" w:after="240"/>
      <w:ind w:hanging="150"/>
      <w:outlineLvl w:val="1"/>
    </w:pPr>
    <w:rPr>
      <w:rFonts w:ascii="Arial" w:hAnsi="Arial" w:eastAsia="黑体" w:cs="Arial"/>
      <w:b/>
      <w:bCs/>
      <w:sz w:val="32"/>
      <w:szCs w:val="32"/>
    </w:rPr>
  </w:style>
  <w:style w:type="character" w:default="1" w:styleId="15">
    <w:name w:val="Default Paragraph Font"/>
    <w:autoRedefine/>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toc 1"/>
    <w:next w:val="1"/>
    <w:qFormat/>
    <w:locked/>
    <w:uiPriority w:val="0"/>
    <w:pPr>
      <w:widowControl w:val="0"/>
      <w:autoSpaceDE w:val="0"/>
      <w:autoSpaceDN w:val="0"/>
      <w:adjustRightInd w:val="0"/>
      <w:snapToGrid w:val="0"/>
      <w:spacing w:line="640" w:lineRule="exact"/>
      <w:ind w:firstLine="705"/>
      <w:jc w:val="both"/>
    </w:pPr>
    <w:rPr>
      <w:rFonts w:ascii="仿宋_GB2312" w:hAnsi="仿宋_GB2312" w:eastAsia="仿宋_GB2312" w:cs="仿宋_GB2312"/>
      <w:color w:val="000000"/>
      <w:spacing w:val="-2"/>
      <w:kern w:val="2"/>
      <w:sz w:val="32"/>
      <w:szCs w:val="36"/>
      <w:lang w:val="en-US" w:eastAsia="zh-CN" w:bidi="ar-SA"/>
    </w:rPr>
  </w:style>
  <w:style w:type="paragraph" w:styleId="4">
    <w:name w:val="annotation text"/>
    <w:basedOn w:val="1"/>
    <w:autoRedefine/>
    <w:unhideWhenUsed/>
    <w:qFormat/>
    <w:uiPriority w:val="99"/>
    <w:pPr>
      <w:jc w:val="left"/>
    </w:pPr>
  </w:style>
  <w:style w:type="paragraph" w:styleId="5">
    <w:name w:val="Body Text Indent"/>
    <w:basedOn w:val="1"/>
    <w:link w:val="30"/>
    <w:autoRedefine/>
    <w:qFormat/>
    <w:uiPriority w:val="99"/>
    <w:pPr>
      <w:spacing w:after="120"/>
      <w:ind w:left="420" w:leftChars="200"/>
    </w:pPr>
  </w:style>
  <w:style w:type="paragraph" w:styleId="6">
    <w:name w:val="Plain Text"/>
    <w:basedOn w:val="1"/>
    <w:link w:val="32"/>
    <w:autoRedefine/>
    <w:qFormat/>
    <w:uiPriority w:val="99"/>
    <w:pPr>
      <w:autoSpaceDE w:val="0"/>
      <w:autoSpaceDN w:val="0"/>
      <w:adjustRightInd w:val="0"/>
      <w:textAlignment w:val="baseline"/>
    </w:pPr>
    <w:rPr>
      <w:rFonts w:ascii="宋体" w:cs="宋体"/>
    </w:rPr>
  </w:style>
  <w:style w:type="paragraph" w:styleId="7">
    <w:name w:val="Balloon Text"/>
    <w:basedOn w:val="1"/>
    <w:link w:val="33"/>
    <w:autoRedefine/>
    <w:qFormat/>
    <w:uiPriority w:val="0"/>
    <w:rPr>
      <w:sz w:val="18"/>
      <w:szCs w:val="18"/>
    </w:rPr>
  </w:style>
  <w:style w:type="paragraph" w:styleId="8">
    <w:name w:val="footer"/>
    <w:basedOn w:val="1"/>
    <w:link w:val="34"/>
    <w:autoRedefine/>
    <w:qFormat/>
    <w:uiPriority w:val="0"/>
    <w:pPr>
      <w:tabs>
        <w:tab w:val="center" w:pos="4153"/>
        <w:tab w:val="right" w:pos="8306"/>
      </w:tabs>
      <w:snapToGrid w:val="0"/>
      <w:jc w:val="left"/>
    </w:pPr>
    <w:rPr>
      <w:sz w:val="18"/>
      <w:szCs w:val="18"/>
    </w:rPr>
  </w:style>
  <w:style w:type="paragraph" w:styleId="9">
    <w:name w:val="header"/>
    <w:basedOn w:val="1"/>
    <w:link w:val="35"/>
    <w:autoRedefine/>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2"/>
    <w:basedOn w:val="1"/>
    <w:link w:val="58"/>
    <w:autoRedefine/>
    <w:semiHidden/>
    <w:unhideWhenUsed/>
    <w:qFormat/>
    <w:uiPriority w:val="99"/>
    <w:pPr>
      <w:spacing w:after="120" w:line="480" w:lineRule="auto"/>
    </w:pPr>
  </w:style>
  <w:style w:type="paragraph" w:styleId="11">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12">
    <w:name w:val="Body Text First Indent 2"/>
    <w:basedOn w:val="5"/>
    <w:link w:val="31"/>
    <w:autoRedefine/>
    <w:qFormat/>
    <w:uiPriority w:val="99"/>
    <w:pPr>
      <w:ind w:firstLine="420" w:firstLineChars="200"/>
    </w:pPr>
  </w:style>
  <w:style w:type="table" w:styleId="14">
    <w:name w:val="Table Grid"/>
    <w:basedOn w:val="13"/>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autoRedefine/>
    <w:qFormat/>
    <w:uiPriority w:val="99"/>
    <w:rPr>
      <w:b/>
      <w:bCs/>
    </w:rPr>
  </w:style>
  <w:style w:type="character" w:styleId="17">
    <w:name w:val="page number"/>
    <w:basedOn w:val="15"/>
    <w:autoRedefine/>
    <w:qFormat/>
    <w:uiPriority w:val="0"/>
  </w:style>
  <w:style w:type="character" w:styleId="18">
    <w:name w:val="FollowedHyperlink"/>
    <w:basedOn w:val="15"/>
    <w:autoRedefine/>
    <w:qFormat/>
    <w:uiPriority w:val="99"/>
    <w:rPr>
      <w:color w:val="auto"/>
      <w:u w:val="none"/>
    </w:rPr>
  </w:style>
  <w:style w:type="character" w:styleId="19">
    <w:name w:val="Emphasis"/>
    <w:basedOn w:val="15"/>
    <w:qFormat/>
    <w:locked/>
    <w:uiPriority w:val="99"/>
  </w:style>
  <w:style w:type="character" w:styleId="20">
    <w:name w:val="HTML Definition"/>
    <w:basedOn w:val="15"/>
    <w:autoRedefine/>
    <w:qFormat/>
    <w:uiPriority w:val="99"/>
    <w:rPr>
      <w:i/>
      <w:iCs/>
    </w:rPr>
  </w:style>
  <w:style w:type="character" w:styleId="21">
    <w:name w:val="HTML Typewriter"/>
    <w:basedOn w:val="15"/>
    <w:autoRedefine/>
    <w:semiHidden/>
    <w:unhideWhenUsed/>
    <w:qFormat/>
    <w:uiPriority w:val="99"/>
    <w:rPr>
      <w:rFonts w:hint="default" w:ascii="monospace" w:hAnsi="monospace" w:eastAsia="monospace" w:cs="monospace"/>
      <w:sz w:val="20"/>
    </w:rPr>
  </w:style>
  <w:style w:type="character" w:styleId="22">
    <w:name w:val="HTML Acronym"/>
    <w:basedOn w:val="15"/>
    <w:autoRedefine/>
    <w:semiHidden/>
    <w:unhideWhenUsed/>
    <w:qFormat/>
    <w:uiPriority w:val="99"/>
  </w:style>
  <w:style w:type="character" w:styleId="23">
    <w:name w:val="HTML Variable"/>
    <w:basedOn w:val="15"/>
    <w:autoRedefine/>
    <w:qFormat/>
    <w:uiPriority w:val="99"/>
  </w:style>
  <w:style w:type="character" w:styleId="24">
    <w:name w:val="Hyperlink"/>
    <w:basedOn w:val="15"/>
    <w:autoRedefine/>
    <w:qFormat/>
    <w:uiPriority w:val="99"/>
    <w:rPr>
      <w:color w:val="0000FF"/>
      <w:u w:val="none"/>
    </w:rPr>
  </w:style>
  <w:style w:type="character" w:styleId="25">
    <w:name w:val="HTML Code"/>
    <w:basedOn w:val="15"/>
    <w:autoRedefine/>
    <w:qFormat/>
    <w:uiPriority w:val="99"/>
    <w:rPr>
      <w:rFonts w:ascii="Consolas" w:hAnsi="Consolas" w:eastAsia="Times New Roman" w:cs="Consolas"/>
      <w:color w:val="auto"/>
      <w:sz w:val="21"/>
      <w:szCs w:val="21"/>
      <w:shd w:val="clear" w:color="auto" w:fill="auto"/>
    </w:rPr>
  </w:style>
  <w:style w:type="character" w:styleId="26">
    <w:name w:val="HTML Cite"/>
    <w:basedOn w:val="15"/>
    <w:autoRedefine/>
    <w:qFormat/>
    <w:uiPriority w:val="99"/>
  </w:style>
  <w:style w:type="character" w:styleId="27">
    <w:name w:val="HTML Keyboard"/>
    <w:basedOn w:val="15"/>
    <w:qFormat/>
    <w:uiPriority w:val="99"/>
    <w:rPr>
      <w:rFonts w:ascii="Consolas" w:hAnsi="Consolas" w:eastAsia="Times New Roman" w:cs="Consolas"/>
      <w:color w:val="FFFFFF"/>
      <w:sz w:val="21"/>
      <w:szCs w:val="21"/>
      <w:shd w:val="clear" w:color="auto" w:fill="auto"/>
    </w:rPr>
  </w:style>
  <w:style w:type="character" w:styleId="28">
    <w:name w:val="HTML Sample"/>
    <w:basedOn w:val="15"/>
    <w:autoRedefine/>
    <w:qFormat/>
    <w:uiPriority w:val="99"/>
    <w:rPr>
      <w:rFonts w:ascii="Consolas" w:hAnsi="Consolas" w:eastAsia="Times New Roman" w:cs="Consolas"/>
      <w:sz w:val="21"/>
      <w:szCs w:val="21"/>
    </w:rPr>
  </w:style>
  <w:style w:type="character" w:customStyle="1" w:styleId="29">
    <w:name w:val="标题 2 Char"/>
    <w:basedOn w:val="15"/>
    <w:link w:val="3"/>
    <w:autoRedefine/>
    <w:semiHidden/>
    <w:qFormat/>
    <w:locked/>
    <w:uiPriority w:val="99"/>
    <w:rPr>
      <w:rFonts w:ascii="Cambria" w:hAnsi="Cambria" w:eastAsia="宋体" w:cs="Cambria"/>
      <w:b/>
      <w:bCs/>
      <w:sz w:val="32"/>
      <w:szCs w:val="32"/>
    </w:rPr>
  </w:style>
  <w:style w:type="character" w:customStyle="1" w:styleId="30">
    <w:name w:val="正文文本缩进 Char"/>
    <w:basedOn w:val="15"/>
    <w:link w:val="5"/>
    <w:autoRedefine/>
    <w:semiHidden/>
    <w:qFormat/>
    <w:uiPriority w:val="99"/>
    <w:rPr>
      <w:rFonts w:ascii="Calibri" w:hAnsi="Calibri" w:cs="Calibri"/>
      <w:szCs w:val="21"/>
    </w:rPr>
  </w:style>
  <w:style w:type="character" w:customStyle="1" w:styleId="31">
    <w:name w:val="正文首行缩进 2 Char"/>
    <w:basedOn w:val="30"/>
    <w:link w:val="12"/>
    <w:autoRedefine/>
    <w:qFormat/>
    <w:uiPriority w:val="99"/>
  </w:style>
  <w:style w:type="character" w:customStyle="1" w:styleId="32">
    <w:name w:val="纯文本 Char"/>
    <w:basedOn w:val="15"/>
    <w:link w:val="6"/>
    <w:autoRedefine/>
    <w:semiHidden/>
    <w:qFormat/>
    <w:uiPriority w:val="99"/>
    <w:rPr>
      <w:rFonts w:ascii="宋体" w:hAnsi="Courier New" w:cs="Courier New"/>
      <w:szCs w:val="21"/>
    </w:rPr>
  </w:style>
  <w:style w:type="character" w:customStyle="1" w:styleId="33">
    <w:name w:val="批注框文本 Char"/>
    <w:basedOn w:val="15"/>
    <w:link w:val="7"/>
    <w:autoRedefine/>
    <w:qFormat/>
    <w:locked/>
    <w:uiPriority w:val="0"/>
    <w:rPr>
      <w:rFonts w:ascii="Calibri" w:hAnsi="Calibri" w:eastAsia="宋体" w:cs="Calibri"/>
      <w:kern w:val="2"/>
      <w:sz w:val="18"/>
      <w:szCs w:val="18"/>
    </w:rPr>
  </w:style>
  <w:style w:type="character" w:customStyle="1" w:styleId="34">
    <w:name w:val="页脚 Char"/>
    <w:basedOn w:val="15"/>
    <w:link w:val="8"/>
    <w:autoRedefine/>
    <w:qFormat/>
    <w:locked/>
    <w:uiPriority w:val="0"/>
    <w:rPr>
      <w:rFonts w:ascii="Calibri" w:hAnsi="Calibri" w:eastAsia="宋体" w:cs="Calibri"/>
      <w:kern w:val="2"/>
      <w:sz w:val="18"/>
      <w:szCs w:val="18"/>
    </w:rPr>
  </w:style>
  <w:style w:type="character" w:customStyle="1" w:styleId="35">
    <w:name w:val="页眉 Char"/>
    <w:basedOn w:val="15"/>
    <w:link w:val="9"/>
    <w:autoRedefine/>
    <w:qFormat/>
    <w:locked/>
    <w:uiPriority w:val="99"/>
    <w:rPr>
      <w:rFonts w:ascii="Calibri" w:hAnsi="Calibri" w:eastAsia="宋体" w:cs="Calibri"/>
      <w:kern w:val="2"/>
      <w:sz w:val="18"/>
      <w:szCs w:val="18"/>
    </w:rPr>
  </w:style>
  <w:style w:type="paragraph" w:customStyle="1" w:styleId="36">
    <w:name w:val="列出段落1"/>
    <w:basedOn w:val="1"/>
    <w:autoRedefine/>
    <w:qFormat/>
    <w:uiPriority w:val="99"/>
    <w:pPr>
      <w:ind w:firstLine="420" w:firstLineChars="200"/>
    </w:pPr>
  </w:style>
  <w:style w:type="character" w:customStyle="1" w:styleId="37">
    <w:name w:val="font11"/>
    <w:basedOn w:val="15"/>
    <w:qFormat/>
    <w:uiPriority w:val="99"/>
    <w:rPr>
      <w:rFonts w:ascii="仿宋" w:hAnsi="仿宋" w:eastAsia="仿宋" w:cs="仿宋"/>
      <w:color w:val="000000"/>
      <w:sz w:val="24"/>
      <w:szCs w:val="24"/>
      <w:u w:val="none"/>
    </w:rPr>
  </w:style>
  <w:style w:type="character" w:customStyle="1" w:styleId="38">
    <w:name w:val="font31"/>
    <w:basedOn w:val="15"/>
    <w:autoRedefine/>
    <w:qFormat/>
    <w:uiPriority w:val="99"/>
    <w:rPr>
      <w:rFonts w:ascii="仿宋" w:hAnsi="仿宋" w:eastAsia="仿宋" w:cs="仿宋"/>
      <w:color w:val="000000"/>
      <w:sz w:val="24"/>
      <w:szCs w:val="24"/>
      <w:u w:val="single"/>
    </w:rPr>
  </w:style>
  <w:style w:type="character" w:customStyle="1" w:styleId="39">
    <w:name w:val="jedateymchle"/>
    <w:basedOn w:val="15"/>
    <w:autoRedefine/>
    <w:qFormat/>
    <w:uiPriority w:val="99"/>
    <w:rPr>
      <w:color w:val="auto"/>
      <w:sz w:val="24"/>
      <w:szCs w:val="24"/>
      <w:shd w:val="clear" w:color="auto" w:fill="auto"/>
    </w:rPr>
  </w:style>
  <w:style w:type="character" w:customStyle="1" w:styleId="40">
    <w:name w:val="jedateymchri"/>
    <w:basedOn w:val="15"/>
    <w:autoRedefine/>
    <w:qFormat/>
    <w:uiPriority w:val="99"/>
    <w:rPr>
      <w:color w:val="auto"/>
      <w:sz w:val="24"/>
      <w:szCs w:val="24"/>
      <w:shd w:val="clear" w:color="auto" w:fill="auto"/>
    </w:rPr>
  </w:style>
  <w:style w:type="character" w:customStyle="1" w:styleId="41">
    <w:name w:val="jedateymchok"/>
    <w:basedOn w:val="15"/>
    <w:autoRedefine/>
    <w:qFormat/>
    <w:uiPriority w:val="99"/>
    <w:rPr>
      <w:color w:val="FFFFFF"/>
      <w:sz w:val="18"/>
      <w:szCs w:val="18"/>
      <w:shd w:val="clear" w:color="auto" w:fill="auto"/>
    </w:rPr>
  </w:style>
  <w:style w:type="character" w:customStyle="1" w:styleId="42">
    <w:name w:val="layui-this"/>
    <w:basedOn w:val="15"/>
    <w:autoRedefine/>
    <w:qFormat/>
    <w:uiPriority w:val="99"/>
    <w:rPr>
      <w:bdr w:val="single" w:color="auto" w:sz="6" w:space="0"/>
      <w:shd w:val="clear" w:color="auto" w:fill="FFFFFF"/>
    </w:rPr>
  </w:style>
  <w:style w:type="character" w:customStyle="1" w:styleId="43">
    <w:name w:val="first-child1"/>
    <w:basedOn w:val="15"/>
    <w:autoRedefine/>
    <w:qFormat/>
    <w:uiPriority w:val="99"/>
  </w:style>
  <w:style w:type="paragraph" w:customStyle="1" w:styleId="44">
    <w:name w:val="Table Paragraph"/>
    <w:basedOn w:val="1"/>
    <w:autoRedefine/>
    <w:qFormat/>
    <w:uiPriority w:val="99"/>
    <w:rPr>
      <w:rFonts w:ascii="微软雅黑" w:hAnsi="微软雅黑" w:eastAsia="微软雅黑" w:cs="微软雅黑"/>
      <w:lang w:val="zh-CN"/>
    </w:rPr>
  </w:style>
  <w:style w:type="character" w:customStyle="1" w:styleId="45">
    <w:name w:val="font51"/>
    <w:basedOn w:val="15"/>
    <w:autoRedefine/>
    <w:qFormat/>
    <w:uiPriority w:val="99"/>
    <w:rPr>
      <w:rFonts w:ascii="宋体" w:hAnsi="宋体" w:eastAsia="宋体" w:cs="宋体"/>
      <w:b/>
      <w:bCs/>
      <w:color w:val="000000"/>
      <w:sz w:val="24"/>
      <w:szCs w:val="24"/>
      <w:u w:val="none"/>
    </w:rPr>
  </w:style>
  <w:style w:type="character" w:customStyle="1" w:styleId="46">
    <w:name w:val="font41"/>
    <w:basedOn w:val="15"/>
    <w:autoRedefine/>
    <w:qFormat/>
    <w:uiPriority w:val="99"/>
    <w:rPr>
      <w:rFonts w:ascii="宋体" w:hAnsi="宋体" w:eastAsia="宋体" w:cs="宋体"/>
      <w:color w:val="000000"/>
      <w:sz w:val="24"/>
      <w:szCs w:val="24"/>
      <w:u w:val="none"/>
    </w:rPr>
  </w:style>
  <w:style w:type="character" w:customStyle="1" w:styleId="47">
    <w:name w:val="hover"/>
    <w:basedOn w:val="15"/>
    <w:qFormat/>
    <w:uiPriority w:val="0"/>
    <w:rPr>
      <w:color w:val="2590EB"/>
    </w:rPr>
  </w:style>
  <w:style w:type="character" w:customStyle="1" w:styleId="48">
    <w:name w:val="hover1"/>
    <w:basedOn w:val="15"/>
    <w:autoRedefine/>
    <w:qFormat/>
    <w:uiPriority w:val="0"/>
    <w:rPr>
      <w:color w:val="2590EB"/>
    </w:rPr>
  </w:style>
  <w:style w:type="character" w:customStyle="1" w:styleId="49">
    <w:name w:val="hover2"/>
    <w:basedOn w:val="15"/>
    <w:autoRedefine/>
    <w:qFormat/>
    <w:uiPriority w:val="0"/>
  </w:style>
  <w:style w:type="character" w:customStyle="1" w:styleId="50">
    <w:name w:val="mini-outputtext1"/>
    <w:basedOn w:val="15"/>
    <w:autoRedefine/>
    <w:qFormat/>
    <w:uiPriority w:val="0"/>
  </w:style>
  <w:style w:type="character" w:customStyle="1" w:styleId="51">
    <w:name w:val="hover3"/>
    <w:basedOn w:val="15"/>
    <w:autoRedefine/>
    <w:qFormat/>
    <w:uiPriority w:val="0"/>
  </w:style>
  <w:style w:type="character" w:customStyle="1" w:styleId="52">
    <w:name w:val="not([class*=suffix])"/>
    <w:basedOn w:val="15"/>
    <w:autoRedefine/>
    <w:qFormat/>
    <w:uiPriority w:val="0"/>
    <w:rPr>
      <w:sz w:val="19"/>
      <w:szCs w:val="19"/>
    </w:rPr>
  </w:style>
  <w:style w:type="character" w:customStyle="1" w:styleId="53">
    <w:name w:val="not([class*=suffix])1"/>
    <w:basedOn w:val="15"/>
    <w:autoRedefine/>
    <w:qFormat/>
    <w:uiPriority w:val="0"/>
  </w:style>
  <w:style w:type="character" w:customStyle="1" w:styleId="54">
    <w:name w:val="owl-numbers"/>
    <w:basedOn w:val="15"/>
    <w:autoRedefine/>
    <w:qFormat/>
    <w:uiPriority w:val="0"/>
    <w:rPr>
      <w:color w:val="FFFFFF"/>
      <w:sz w:val="18"/>
      <w:szCs w:val="18"/>
    </w:rPr>
  </w:style>
  <w:style w:type="character" w:customStyle="1" w:styleId="55">
    <w:name w:val="first-of-type1"/>
    <w:basedOn w:val="15"/>
    <w:autoRedefine/>
    <w:qFormat/>
    <w:uiPriority w:val="0"/>
  </w:style>
  <w:style w:type="paragraph" w:customStyle="1" w:styleId="56">
    <w:name w:val="段"/>
    <w:link w:val="57"/>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57">
    <w:name w:val="段 Char"/>
    <w:link w:val="56"/>
    <w:autoRedefine/>
    <w:qFormat/>
    <w:uiPriority w:val="0"/>
    <w:rPr>
      <w:rFonts w:ascii="宋体"/>
      <w:sz w:val="21"/>
    </w:rPr>
  </w:style>
  <w:style w:type="character" w:customStyle="1" w:styleId="58">
    <w:name w:val="正文文本 2 Char"/>
    <w:basedOn w:val="15"/>
    <w:link w:val="10"/>
    <w:autoRedefine/>
    <w:semiHidden/>
    <w:qFormat/>
    <w:uiPriority w:val="99"/>
    <w:rPr>
      <w:rFonts w:ascii="Calibri" w:hAnsi="Calibri" w:cs="Calibri"/>
      <w:kern w:val="2"/>
      <w:sz w:val="21"/>
      <w:szCs w:val="21"/>
    </w:rPr>
  </w:style>
  <w:style w:type="paragraph" w:styleId="59">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60">
    <w:name w:val="15"/>
    <w:basedOn w:val="15"/>
    <w:autoRedefine/>
    <w:qFormat/>
    <w:uiPriority w:val="0"/>
    <w:rPr>
      <w:rFonts w:hint="default" w:ascii="仿宋" w:hAnsi="仿宋" w:eastAsia="仿宋" w:cs="仿宋"/>
      <w:color w:val="000000"/>
      <w:sz w:val="22"/>
      <w:szCs w:val="22"/>
    </w:rPr>
  </w:style>
  <w:style w:type="paragraph" w:customStyle="1" w:styleId="61">
    <w:name w:val="_正文段落"/>
    <w:basedOn w:val="1"/>
    <w:autoRedefine/>
    <w:qFormat/>
    <w:uiPriority w:val="0"/>
    <w:pPr>
      <w:spacing w:line="360" w:lineRule="auto"/>
      <w:ind w:firstLine="200" w:firstLineChars="200"/>
    </w:pPr>
    <w:rPr>
      <w:rFonts w:ascii="仿宋_GB2312" w:hAnsi="宋体" w:eastAsia="仿宋_GB2312" w:cs="黑体"/>
      <w:sz w:val="28"/>
    </w:rPr>
  </w:style>
  <w:style w:type="character" w:customStyle="1" w:styleId="62">
    <w:name w:val="NormalCharact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1555</Words>
  <Characters>1665</Characters>
  <Lines>9</Lines>
  <Paragraphs>2</Paragraphs>
  <TotalTime>6</TotalTime>
  <ScaleCrop>false</ScaleCrop>
  <LinksUpToDate>false</LinksUpToDate>
  <CharactersWithSpaces>1746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2020-05-14T12:47:00Z</dcterms:created>
  <dc:creator>东东乐</dc:creator>
  <cp:lastModifiedBy>涞源医政刘智慧</cp:lastModifiedBy>
  <cp:lastPrinted>2020-05-25T10:04:00Z</cp:lastPrinted>
  <dcterms:modified xsi:type="dcterms:W3CDTF">2024-01-24T01:00:41Z</dcterms:modified>
  <dc:title>行业综合许可工作规范</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798F9E1BCFD84724805B00E97492292C_13</vt:lpwstr>
  </property>
</Properties>
</file>