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26E23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atLeast"/>
        <w:ind w:left="0" w:right="0" w:firstLine="420"/>
        <w:jc w:val="center"/>
        <w:rPr>
          <w:rFonts w:ascii="Verdana" w:hAnsi="Verdana" w:eastAsia="Verdana" w:cs="Verdana"/>
          <w:i w:val="0"/>
          <w:iCs w:val="0"/>
          <w:caps w:val="0"/>
          <w:color w:val="484747"/>
          <w:spacing w:val="0"/>
          <w:sz w:val="21"/>
          <w:szCs w:val="21"/>
        </w:rPr>
      </w:pPr>
      <w:r>
        <w:rPr>
          <w:rFonts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33333"/>
          <w:spacing w:val="0"/>
          <w:kern w:val="0"/>
          <w:sz w:val="44"/>
          <w:szCs w:val="44"/>
          <w:shd w:val="clear" w:fill="FFFFFF"/>
          <w:lang w:val="en-US" w:eastAsia="zh-CN" w:bidi="ar"/>
        </w:rPr>
        <w:t>涞源县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33333"/>
          <w:spacing w:val="0"/>
          <w:kern w:val="0"/>
          <w:sz w:val="44"/>
          <w:szCs w:val="44"/>
          <w:shd w:val="clear" w:fill="FFFFFF"/>
          <w:lang w:val="en-US" w:eastAsia="zh-CN" w:bidi="ar"/>
        </w:rPr>
        <w:t>水堡</w:t>
      </w:r>
      <w:r>
        <w:rPr>
          <w:rFonts w:hint="default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33333"/>
          <w:spacing w:val="0"/>
          <w:kern w:val="0"/>
          <w:sz w:val="44"/>
          <w:szCs w:val="44"/>
          <w:shd w:val="clear" w:fill="FFFFFF"/>
          <w:lang w:val="en-US" w:eastAsia="zh-CN" w:bidi="ar"/>
        </w:rPr>
        <w:t>镇人民政府2024年政府信息公开年度报告</w:t>
      </w:r>
    </w:p>
    <w:p w14:paraId="18978CE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60" w:lineRule="atLeast"/>
        <w:ind w:left="0" w:right="0" w:firstLine="420"/>
        <w:jc w:val="center"/>
        <w:rPr>
          <w:rFonts w:hint="default" w:ascii="Verdana" w:hAnsi="Verdana" w:eastAsia="Verdana" w:cs="Verdana"/>
          <w:i w:val="0"/>
          <w:iCs w:val="0"/>
          <w:caps w:val="0"/>
          <w:color w:val="484747"/>
          <w:spacing w:val="0"/>
          <w:sz w:val="21"/>
          <w:szCs w:val="21"/>
        </w:rPr>
      </w:pPr>
      <w:r>
        <w:rPr>
          <w:rFonts w:hint="default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33333"/>
          <w:spacing w:val="0"/>
          <w:kern w:val="0"/>
          <w:sz w:val="44"/>
          <w:szCs w:val="44"/>
          <w:shd w:val="clear" w:fill="FFFFFF"/>
          <w:lang w:val="en-US" w:eastAsia="zh-CN" w:bidi="ar"/>
        </w:rPr>
        <w:t> </w:t>
      </w:r>
    </w:p>
    <w:p w14:paraId="57CFE08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atLeast"/>
        <w:ind w:left="0" w:right="0" w:firstLine="640"/>
        <w:jc w:val="both"/>
        <w:rPr>
          <w:rFonts w:hint="default" w:ascii="Verdana" w:hAnsi="Verdana" w:eastAsia="Verdana" w:cs="Verdana"/>
          <w:i w:val="0"/>
          <w:iCs w:val="0"/>
          <w:caps w:val="0"/>
          <w:color w:val="484747"/>
          <w:spacing w:val="0"/>
          <w:sz w:val="21"/>
          <w:szCs w:val="21"/>
        </w:rPr>
      </w:pPr>
      <w:r>
        <w:rPr>
          <w:rFonts w:ascii="仿宋_GB2312" w:hAnsi="Verdana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2024年，</w:t>
      </w:r>
      <w:r>
        <w:rPr>
          <w:rFonts w:hint="eastAsia" w:ascii="仿宋_GB2312" w:hAnsi="Verdana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水堡</w:t>
      </w:r>
      <w:r>
        <w:rPr>
          <w:rFonts w:ascii="仿宋_GB2312" w:hAnsi="Verdana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镇在县委、县政府的正确领导下，</w:t>
      </w:r>
      <w:r>
        <w:rPr>
          <w:rFonts w:hint="eastAsia" w:ascii="仿宋_GB2312" w:hAnsi="Verdana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水堡</w:t>
      </w:r>
      <w:bookmarkStart w:id="0" w:name="_GoBack"/>
      <w:bookmarkEnd w:id="0"/>
      <w:r>
        <w:rPr>
          <w:rFonts w:ascii="仿宋_GB2312" w:hAnsi="Verdana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镇认真贯彻落实</w:t>
      </w:r>
      <w:r>
        <w:rPr>
          <w:rFonts w:hint="default" w:ascii="仿宋_GB2312" w:hAnsi="Verdana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《中华人民共和国政府信息公开条例》和县委、县政府统一安排部署，高度重视政府信息公开工作，不断健全完善政府信息公开制度，信息公开工作取得了一定成效。现将2024年度信息公开工作报告如下：</w:t>
      </w:r>
    </w:p>
    <w:p w14:paraId="5AB644E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atLeast"/>
        <w:ind w:left="0" w:right="0" w:firstLine="643"/>
        <w:jc w:val="both"/>
        <w:rPr>
          <w:rFonts w:hint="default" w:ascii="Verdana" w:hAnsi="Verdana" w:eastAsia="Verdana" w:cs="Verdana"/>
          <w:i w:val="0"/>
          <w:iCs w:val="0"/>
          <w:caps w:val="0"/>
          <w:color w:val="484747"/>
          <w:spacing w:val="0"/>
          <w:sz w:val="21"/>
          <w:szCs w:val="21"/>
        </w:rPr>
      </w:pPr>
      <w:r>
        <w:rPr>
          <w:rFonts w:ascii="黑体" w:hAnsi="宋体" w:eastAsia="黑体" w:cs="黑体"/>
          <w:b w:val="0"/>
          <w:bCs w:val="0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一、总体情况</w:t>
      </w:r>
    </w:p>
    <w:p w14:paraId="7B174A8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atLeast"/>
        <w:ind w:left="0" w:right="0" w:firstLine="640"/>
        <w:jc w:val="both"/>
        <w:rPr>
          <w:rFonts w:hint="default" w:ascii="Verdana" w:hAnsi="Verdana" w:eastAsia="Verdana" w:cs="Verdana"/>
          <w:i w:val="0"/>
          <w:iCs w:val="0"/>
          <w:caps w:val="0"/>
          <w:color w:val="484747"/>
          <w:spacing w:val="0"/>
          <w:sz w:val="21"/>
          <w:szCs w:val="21"/>
        </w:rPr>
      </w:pPr>
      <w:r>
        <w:rPr>
          <w:rFonts w:hint="default" w:ascii="仿宋_GB2312" w:hAnsi="Verdana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推进政府信息公开是贯彻落实《中华人民共和国政府信息公开条例》的重要举措，是深入推行政务公开，转变政府职能，实现管理创新，主动服务于民的一项重要工作。2024年，我镇严格按照国家、省、市、县有关要求，不断加大政府信息公开力度，建立健全政府信息公开工作机制，明确政府信息公开工作主管副职，实行专人负责，及时在网站上公布年度报告，保证政府信息公开工作顺利开展。</w:t>
      </w:r>
    </w:p>
    <w:p w14:paraId="4A70F40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atLeast"/>
        <w:ind w:left="0" w:right="0" w:firstLine="643"/>
        <w:jc w:val="both"/>
        <w:rPr>
          <w:rFonts w:hint="default" w:ascii="Verdana" w:hAnsi="Verdana" w:eastAsia="Verdana" w:cs="Verdana"/>
          <w:i w:val="0"/>
          <w:iCs w:val="0"/>
          <w:caps w:val="0"/>
          <w:color w:val="484747"/>
          <w:spacing w:val="0"/>
          <w:sz w:val="21"/>
          <w:szCs w:val="21"/>
        </w:rPr>
      </w:pPr>
      <w:r>
        <w:rPr>
          <w:rFonts w:ascii="楷体_GB2312" w:hAnsi="Verdana" w:eastAsia="楷体_GB2312" w:cs="楷体_GB2312"/>
          <w:b w:val="0"/>
          <w:bCs w:val="0"/>
          <w:i w:val="0"/>
          <w:iCs w:val="0"/>
          <w:caps w:val="0"/>
          <w:color w:val="484747"/>
          <w:spacing w:val="0"/>
          <w:kern w:val="0"/>
          <w:sz w:val="32"/>
          <w:szCs w:val="32"/>
          <w:shd w:val="clear" w:fill="FFFFFF"/>
          <w:lang w:val="en-US" w:eastAsia="zh-CN" w:bidi="ar"/>
        </w:rPr>
        <w:t>（一）主动公开</w:t>
      </w:r>
    </w:p>
    <w:p w14:paraId="392E321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atLeast"/>
        <w:ind w:left="0" w:right="0" w:firstLine="640"/>
        <w:jc w:val="both"/>
        <w:rPr>
          <w:rFonts w:hint="default" w:ascii="Verdana" w:hAnsi="Verdana" w:eastAsia="Verdana" w:cs="Verdana"/>
          <w:i w:val="0"/>
          <w:iCs w:val="0"/>
          <w:caps w:val="0"/>
          <w:color w:val="484747"/>
          <w:spacing w:val="0"/>
          <w:sz w:val="21"/>
          <w:szCs w:val="21"/>
        </w:rPr>
      </w:pPr>
      <w:r>
        <w:rPr>
          <w:rFonts w:hint="default" w:ascii="仿宋_GB2312" w:hAnsi="Verdana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严格按照政府信息公开要求，扎实开展政府信息公开工作，结合工作实际进行政府信息公开，在进一步坚持和完善政务公开栏的基础上，推进电子政务建设和网上政务公开。同时积极向上级宣传平台提供信息，整体工作较往年有了进一步提升。</w:t>
      </w:r>
    </w:p>
    <w:p w14:paraId="2183F3C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atLeast"/>
        <w:ind w:left="0" w:right="0" w:firstLine="643"/>
        <w:jc w:val="both"/>
        <w:rPr>
          <w:rFonts w:hint="default" w:ascii="Verdana" w:hAnsi="Verdana" w:eastAsia="Verdana" w:cs="Verdana"/>
          <w:i w:val="0"/>
          <w:iCs w:val="0"/>
          <w:caps w:val="0"/>
          <w:color w:val="484747"/>
          <w:spacing w:val="0"/>
          <w:sz w:val="21"/>
          <w:szCs w:val="21"/>
        </w:rPr>
      </w:pPr>
      <w:r>
        <w:rPr>
          <w:rFonts w:hint="default" w:ascii="楷体_GB2312" w:hAnsi="Verdana" w:eastAsia="楷体_GB2312" w:cs="楷体_GB2312"/>
          <w:b w:val="0"/>
          <w:bCs w:val="0"/>
          <w:i w:val="0"/>
          <w:iCs w:val="0"/>
          <w:caps w:val="0"/>
          <w:color w:val="484747"/>
          <w:spacing w:val="0"/>
          <w:kern w:val="0"/>
          <w:sz w:val="32"/>
          <w:szCs w:val="32"/>
          <w:shd w:val="clear" w:fill="FFFFFF"/>
          <w:lang w:val="en-US" w:eastAsia="zh-CN" w:bidi="ar"/>
        </w:rPr>
        <w:t>（二）依申请公开</w:t>
      </w:r>
    </w:p>
    <w:p w14:paraId="6FD549D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atLeast"/>
        <w:ind w:left="0" w:right="0" w:firstLine="640"/>
        <w:jc w:val="both"/>
        <w:rPr>
          <w:rFonts w:hint="default" w:ascii="Verdana" w:hAnsi="Verdana" w:eastAsia="Verdana" w:cs="Verdana"/>
          <w:i w:val="0"/>
          <w:iCs w:val="0"/>
          <w:caps w:val="0"/>
          <w:color w:val="484747"/>
          <w:spacing w:val="0"/>
          <w:sz w:val="21"/>
          <w:szCs w:val="21"/>
        </w:rPr>
      </w:pPr>
      <w:r>
        <w:rPr>
          <w:rFonts w:hint="default" w:ascii="仿宋_GB2312" w:hAnsi="Verdana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严格按照</w:t>
      </w:r>
      <w:r>
        <w:rPr>
          <w:rFonts w:hint="default" w:ascii="仿宋_GB2312" w:hAnsi="Verdana" w:eastAsia="仿宋_GB2312" w:cs="仿宋_GB2312"/>
          <w:i w:val="0"/>
          <w:iCs w:val="0"/>
          <w:caps w:val="0"/>
          <w:color w:val="484747"/>
          <w:spacing w:val="0"/>
          <w:kern w:val="0"/>
          <w:sz w:val="32"/>
          <w:szCs w:val="32"/>
          <w:shd w:val="clear" w:fill="FFFFFF"/>
          <w:lang w:val="en-US" w:eastAsia="zh-CN" w:bidi="ar"/>
        </w:rPr>
        <w:t>《中华人民共和国政府信息公开条例》，建立完善公开制度，</w:t>
      </w:r>
      <w:r>
        <w:rPr>
          <w:rFonts w:hint="eastAsia" w:ascii="仿宋_GB2312" w:hAnsi="Verdana" w:eastAsia="仿宋_GB2312" w:cs="仿宋_GB2312"/>
          <w:i w:val="0"/>
          <w:iCs w:val="0"/>
          <w:caps w:val="0"/>
          <w:color w:val="484747"/>
          <w:spacing w:val="0"/>
          <w:kern w:val="0"/>
          <w:sz w:val="32"/>
          <w:szCs w:val="32"/>
          <w:shd w:val="clear" w:fill="FFFFFF"/>
          <w:lang w:val="en-US" w:eastAsia="zh-CN" w:bidi="ar"/>
        </w:rPr>
        <w:t>水堡</w:t>
      </w:r>
      <w:r>
        <w:rPr>
          <w:rFonts w:hint="default" w:ascii="仿宋_GB2312" w:hAnsi="Verdana" w:eastAsia="仿宋_GB2312" w:cs="仿宋_GB2312"/>
          <w:i w:val="0"/>
          <w:iCs w:val="0"/>
          <w:caps w:val="0"/>
          <w:color w:val="484747"/>
          <w:spacing w:val="0"/>
          <w:kern w:val="0"/>
          <w:sz w:val="32"/>
          <w:szCs w:val="32"/>
          <w:shd w:val="clear" w:fill="FFFFFF"/>
          <w:lang w:val="en-US" w:eastAsia="zh-CN" w:bidi="ar"/>
        </w:rPr>
        <w:t>镇于2024年未接到依申请公开事项及行政复议情况。</w:t>
      </w:r>
    </w:p>
    <w:p w14:paraId="33177FF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atLeast"/>
        <w:ind w:left="0" w:right="0" w:firstLine="643"/>
        <w:jc w:val="both"/>
        <w:rPr>
          <w:rFonts w:hint="default" w:ascii="Verdana" w:hAnsi="Verdana" w:eastAsia="Verdana" w:cs="Verdana"/>
          <w:i w:val="0"/>
          <w:iCs w:val="0"/>
          <w:caps w:val="0"/>
          <w:color w:val="484747"/>
          <w:spacing w:val="0"/>
          <w:sz w:val="21"/>
          <w:szCs w:val="21"/>
        </w:rPr>
      </w:pPr>
      <w:r>
        <w:rPr>
          <w:rFonts w:hint="default" w:ascii="楷体_GB2312" w:hAnsi="Verdana" w:eastAsia="楷体_GB2312" w:cs="楷体_GB2312"/>
          <w:b w:val="0"/>
          <w:bCs w:val="0"/>
          <w:i w:val="0"/>
          <w:iCs w:val="0"/>
          <w:caps w:val="0"/>
          <w:color w:val="484747"/>
          <w:spacing w:val="0"/>
          <w:kern w:val="0"/>
          <w:sz w:val="32"/>
          <w:szCs w:val="32"/>
          <w:shd w:val="clear" w:fill="FFFFFF"/>
          <w:lang w:val="en-US" w:eastAsia="zh-CN" w:bidi="ar"/>
        </w:rPr>
        <w:t>（三）政府信息管理</w:t>
      </w:r>
    </w:p>
    <w:p w14:paraId="62AD44E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atLeast"/>
        <w:ind w:left="0" w:right="0" w:firstLine="640"/>
        <w:jc w:val="both"/>
        <w:rPr>
          <w:rFonts w:hint="default" w:ascii="Verdana" w:hAnsi="Verdana" w:eastAsia="Verdana" w:cs="Verdana"/>
          <w:i w:val="0"/>
          <w:iCs w:val="0"/>
          <w:caps w:val="0"/>
          <w:color w:val="484747"/>
          <w:spacing w:val="0"/>
          <w:sz w:val="21"/>
          <w:szCs w:val="21"/>
        </w:rPr>
      </w:pPr>
      <w:r>
        <w:rPr>
          <w:rFonts w:hint="default" w:ascii="仿宋_GB2312" w:hAnsi="Verdana" w:eastAsia="仿宋_GB2312" w:cs="仿宋_GB2312"/>
          <w:i w:val="0"/>
          <w:iCs w:val="0"/>
          <w:caps w:val="0"/>
          <w:color w:val="484747"/>
          <w:spacing w:val="0"/>
          <w:kern w:val="0"/>
          <w:sz w:val="32"/>
          <w:szCs w:val="32"/>
          <w:shd w:val="clear" w:fill="FFFFFF"/>
          <w:lang w:val="en-US" w:eastAsia="zh-CN" w:bidi="ar"/>
        </w:rPr>
        <w:t>严格按照《中华人民共和国政府信息公开条例》及《中华人民共和国保守国家秘密法》有关规定，完善政府信息主动公开工作流程，</w:t>
      </w:r>
      <w:r>
        <w:rPr>
          <w:rFonts w:hint="default" w:ascii="仿宋_GB2312" w:hAnsi="Verdana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规范做好政府信息公开保障工作。</w:t>
      </w:r>
    </w:p>
    <w:p w14:paraId="12ADE77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atLeast"/>
        <w:ind w:left="0" w:right="0" w:firstLine="643"/>
        <w:jc w:val="both"/>
        <w:rPr>
          <w:rFonts w:hint="default" w:ascii="Verdana" w:hAnsi="Verdana" w:eastAsia="Verdana" w:cs="Verdana"/>
          <w:i w:val="0"/>
          <w:iCs w:val="0"/>
          <w:caps w:val="0"/>
          <w:color w:val="484747"/>
          <w:spacing w:val="0"/>
          <w:sz w:val="21"/>
          <w:szCs w:val="21"/>
        </w:rPr>
      </w:pPr>
      <w:r>
        <w:rPr>
          <w:rFonts w:hint="default" w:ascii="楷体_GB2312" w:hAnsi="Verdana" w:eastAsia="楷体_GB2312" w:cs="楷体_GB2312"/>
          <w:b w:val="0"/>
          <w:bCs w:val="0"/>
          <w:i w:val="0"/>
          <w:iCs w:val="0"/>
          <w:caps w:val="0"/>
          <w:color w:val="484747"/>
          <w:spacing w:val="0"/>
          <w:kern w:val="0"/>
          <w:sz w:val="32"/>
          <w:szCs w:val="32"/>
          <w:shd w:val="clear" w:fill="FFFFFF"/>
          <w:lang w:val="en-US" w:eastAsia="zh-CN" w:bidi="ar"/>
        </w:rPr>
        <w:t>（四）政府信息公开平台建设</w:t>
      </w:r>
    </w:p>
    <w:p w14:paraId="15D4660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atLeast"/>
        <w:ind w:left="0" w:right="0" w:firstLine="640"/>
        <w:jc w:val="both"/>
        <w:rPr>
          <w:rFonts w:hint="default" w:ascii="Verdana" w:hAnsi="Verdana" w:eastAsia="Verdana" w:cs="Verdana"/>
          <w:i w:val="0"/>
          <w:iCs w:val="0"/>
          <w:caps w:val="0"/>
          <w:color w:val="484747"/>
          <w:spacing w:val="0"/>
          <w:sz w:val="21"/>
          <w:szCs w:val="21"/>
        </w:rPr>
      </w:pPr>
      <w:r>
        <w:rPr>
          <w:rFonts w:hint="default" w:ascii="仿宋_GB2312" w:hAnsi="Verdana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积极推进重点领域信息公开，做到内容严格把关、更新及时准确，同时定期开展自查，做到发现问题及时整改。</w:t>
      </w:r>
    </w:p>
    <w:p w14:paraId="22AE459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atLeast"/>
        <w:ind w:left="0" w:right="0" w:firstLine="643"/>
        <w:jc w:val="both"/>
        <w:rPr>
          <w:rFonts w:hint="default" w:ascii="Verdana" w:hAnsi="Verdana" w:eastAsia="Verdana" w:cs="Verdana"/>
          <w:i w:val="0"/>
          <w:iCs w:val="0"/>
          <w:caps w:val="0"/>
          <w:color w:val="484747"/>
          <w:spacing w:val="0"/>
          <w:sz w:val="21"/>
          <w:szCs w:val="21"/>
        </w:rPr>
      </w:pPr>
      <w:r>
        <w:rPr>
          <w:rFonts w:hint="default" w:ascii="楷体_GB2312" w:hAnsi="Verdana" w:eastAsia="楷体_GB2312" w:cs="楷体_GB2312"/>
          <w:b w:val="0"/>
          <w:bCs w:val="0"/>
          <w:i w:val="0"/>
          <w:iCs w:val="0"/>
          <w:caps w:val="0"/>
          <w:color w:val="484747"/>
          <w:spacing w:val="0"/>
          <w:kern w:val="0"/>
          <w:sz w:val="32"/>
          <w:szCs w:val="32"/>
          <w:shd w:val="clear" w:fill="FFFFFF"/>
          <w:lang w:val="en-US" w:eastAsia="zh-CN" w:bidi="ar"/>
        </w:rPr>
        <w:t>（五）政府信息监督保障方面</w:t>
      </w:r>
    </w:p>
    <w:p w14:paraId="1697434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atLeast"/>
        <w:ind w:left="0" w:right="0" w:firstLine="640"/>
        <w:jc w:val="both"/>
        <w:rPr>
          <w:rFonts w:hint="default" w:ascii="Verdana" w:hAnsi="Verdana" w:eastAsia="Verdana" w:cs="Verdana"/>
          <w:i w:val="0"/>
          <w:iCs w:val="0"/>
          <w:caps w:val="0"/>
          <w:color w:val="484747"/>
          <w:spacing w:val="0"/>
          <w:sz w:val="21"/>
          <w:szCs w:val="21"/>
        </w:rPr>
      </w:pPr>
      <w:r>
        <w:rPr>
          <w:rFonts w:hint="default" w:ascii="仿宋_GB2312" w:hAnsi="Verdana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严格按照县政府要求，尽最大限度地实行公开，进一步提升</w:t>
      </w:r>
      <w:r>
        <w:rPr>
          <w:rFonts w:hint="eastAsia" w:ascii="仿宋_GB2312" w:hAnsi="Verdana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水堡</w:t>
      </w:r>
      <w:r>
        <w:rPr>
          <w:rFonts w:hint="default" w:ascii="仿宋_GB2312" w:hAnsi="Verdana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镇政府工作透明度，保障公众的知情权和监督权。</w:t>
      </w:r>
    </w:p>
    <w:p w14:paraId="6BEBA5B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atLeast"/>
        <w:ind w:left="0" w:right="0" w:firstLine="643"/>
        <w:jc w:val="both"/>
        <w:rPr>
          <w:rFonts w:hint="default" w:ascii="Verdana" w:hAnsi="Verdana" w:eastAsia="Verdana" w:cs="Verdana"/>
          <w:i w:val="0"/>
          <w:iCs w:val="0"/>
          <w:caps w:val="0"/>
          <w:color w:val="484747"/>
          <w:spacing w:val="0"/>
          <w:sz w:val="21"/>
          <w:szCs w:val="21"/>
        </w:rPr>
      </w:pPr>
      <w:r>
        <w:rPr>
          <w:rFonts w:hint="eastAsia" w:ascii="黑体" w:hAnsi="宋体" w:eastAsia="黑体" w:cs="黑体"/>
          <w:b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二、</w:t>
      </w:r>
      <w:r>
        <w:rPr>
          <w:rFonts w:hint="eastAsia" w:ascii="黑体" w:hAnsi="宋体" w:eastAsia="黑体" w:cs="黑体"/>
          <w:b w:val="0"/>
          <w:bCs w:val="0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主动公开政府信息情况</w:t>
      </w:r>
    </w:p>
    <w:tbl>
      <w:tblPr>
        <w:tblStyle w:val="3"/>
        <w:tblW w:w="974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435"/>
        <w:gridCol w:w="2435"/>
        <w:gridCol w:w="2435"/>
        <w:gridCol w:w="2435"/>
      </w:tblGrid>
      <w:tr w14:paraId="18295F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070F472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2"/>
                <w:szCs w:val="22"/>
                <w:lang w:val="en-US" w:eastAsia="zh-CN" w:bidi="ar"/>
              </w:rPr>
              <w:t>第二十条第（一）项</w:t>
            </w:r>
          </w:p>
        </w:tc>
      </w:tr>
      <w:tr w14:paraId="22D645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9DD90F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2"/>
                <w:szCs w:val="22"/>
                <w:lang w:val="en-US" w:eastAsia="zh-CN" w:bidi="ar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7FED3C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2"/>
                <w:szCs w:val="22"/>
                <w:lang w:val="en-US" w:eastAsia="zh-CN" w:bidi="ar"/>
              </w:rPr>
              <w:t>本年制发件数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D56E37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2"/>
                <w:szCs w:val="22"/>
                <w:lang w:val="en-US" w:eastAsia="zh-CN" w:bidi="ar"/>
              </w:rPr>
              <w:t>本年废止件数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D65297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2"/>
                <w:szCs w:val="22"/>
                <w:lang w:val="en-US" w:eastAsia="zh-CN" w:bidi="ar"/>
              </w:rPr>
              <w:t>现行有效件数</w:t>
            </w:r>
          </w:p>
        </w:tc>
      </w:tr>
      <w:tr w14:paraId="0ECDD4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9344FF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2"/>
                <w:szCs w:val="22"/>
                <w:lang w:val="en-US" w:eastAsia="zh-CN" w:bidi="ar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BF695C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D5E4FC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D3C129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2"/>
                <w:szCs w:val="22"/>
                <w:lang w:val="en-US" w:eastAsia="zh-CN" w:bidi="ar"/>
              </w:rPr>
              <w:t>0</w:t>
            </w:r>
          </w:p>
        </w:tc>
      </w:tr>
      <w:tr w14:paraId="374A5E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1207E6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2"/>
                <w:szCs w:val="22"/>
                <w:lang w:val="en-US" w:eastAsia="zh-CN" w:bidi="ar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31BA87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6BF2CA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2"/>
                <w:szCs w:val="22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A939EE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2"/>
                <w:szCs w:val="22"/>
                <w:lang w:val="en-US" w:eastAsia="zh-CN" w:bidi="ar"/>
              </w:rPr>
              <w:t>0</w:t>
            </w:r>
          </w:p>
        </w:tc>
      </w:tr>
      <w:tr w14:paraId="51F96B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41C2AFC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2"/>
                <w:szCs w:val="22"/>
                <w:lang w:val="en-US" w:eastAsia="zh-CN" w:bidi="ar"/>
              </w:rPr>
              <w:t>第二十条第（五）项</w:t>
            </w:r>
          </w:p>
        </w:tc>
      </w:tr>
      <w:tr w14:paraId="6979A6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359DDC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2"/>
                <w:szCs w:val="22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F8C960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2"/>
                <w:szCs w:val="22"/>
                <w:lang w:val="en-US" w:eastAsia="zh-CN" w:bidi="ar"/>
              </w:rPr>
              <w:t>本年处理决定数量</w:t>
            </w:r>
          </w:p>
        </w:tc>
      </w:tr>
      <w:tr w14:paraId="6717B1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B609A1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2"/>
                <w:szCs w:val="22"/>
                <w:lang w:val="en-US" w:eastAsia="zh-CN" w:bidi="ar"/>
              </w:rPr>
              <w:t>行政许可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C7835E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仿宋_GB2312" w:hAnsi="Verdana" w:eastAsia="仿宋_GB2312" w:cs="仿宋_GB2312"/>
                <w:kern w:val="0"/>
                <w:sz w:val="22"/>
                <w:szCs w:val="22"/>
                <w:lang w:val="en-US" w:eastAsia="zh-CN" w:bidi="ar"/>
              </w:rPr>
              <w:t>41</w:t>
            </w:r>
          </w:p>
        </w:tc>
      </w:tr>
      <w:tr w14:paraId="7AE72F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25E925E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2"/>
                <w:szCs w:val="22"/>
                <w:lang w:val="en-US" w:eastAsia="zh-CN" w:bidi="ar"/>
              </w:rPr>
              <w:t>第二十条第（六）项</w:t>
            </w:r>
          </w:p>
        </w:tc>
      </w:tr>
      <w:tr w14:paraId="3C6824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2D7B2E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2"/>
                <w:szCs w:val="22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ABE07B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2"/>
                <w:szCs w:val="22"/>
                <w:lang w:val="en-US" w:eastAsia="zh-CN" w:bidi="ar"/>
              </w:rPr>
              <w:t>本年处理决定数量</w:t>
            </w:r>
          </w:p>
        </w:tc>
      </w:tr>
      <w:tr w14:paraId="2324F2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4BAC06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2"/>
                <w:szCs w:val="22"/>
                <w:lang w:val="en-US" w:eastAsia="zh-CN" w:bidi="ar"/>
              </w:rPr>
              <w:t>行政处罚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FB70A9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_GB2312" w:hAnsi="Verdana" w:eastAsia="仿宋_GB2312" w:cs="仿宋_GB2312"/>
                <w:kern w:val="0"/>
                <w:sz w:val="22"/>
                <w:szCs w:val="22"/>
                <w:lang w:val="en-US" w:eastAsia="zh-CN" w:bidi="ar"/>
              </w:rPr>
              <w:t>3</w:t>
            </w:r>
          </w:p>
        </w:tc>
      </w:tr>
      <w:tr w14:paraId="088BA2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869D10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2"/>
                <w:szCs w:val="22"/>
                <w:lang w:val="en-US" w:eastAsia="zh-CN" w:bidi="ar"/>
              </w:rPr>
              <w:t>行政强制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796684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2"/>
                <w:szCs w:val="22"/>
                <w:lang w:val="en-US" w:eastAsia="zh-CN" w:bidi="ar"/>
              </w:rPr>
              <w:t>0</w:t>
            </w:r>
          </w:p>
        </w:tc>
      </w:tr>
      <w:tr w14:paraId="3CBCD3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23DD434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2"/>
                <w:szCs w:val="22"/>
                <w:lang w:val="en-US" w:eastAsia="zh-CN" w:bidi="ar"/>
              </w:rPr>
              <w:t>第二十条第（八）项</w:t>
            </w:r>
          </w:p>
        </w:tc>
      </w:tr>
      <w:tr w14:paraId="37309B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D4B344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2"/>
                <w:szCs w:val="22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B6A094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2"/>
                <w:szCs w:val="22"/>
                <w:lang w:val="en-US" w:eastAsia="zh-CN" w:bidi="ar"/>
              </w:rPr>
              <w:t>本年收费金额（单位：万元）</w:t>
            </w:r>
          </w:p>
        </w:tc>
      </w:tr>
      <w:tr w14:paraId="28DCB5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060E06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2"/>
                <w:szCs w:val="22"/>
                <w:lang w:val="en-US" w:eastAsia="zh-CN" w:bidi="ar"/>
              </w:rPr>
              <w:t>行政事业性收费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88FD73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2"/>
                <w:szCs w:val="22"/>
                <w:lang w:val="en-US" w:eastAsia="zh-CN" w:bidi="ar"/>
              </w:rPr>
              <w:t>0</w:t>
            </w:r>
          </w:p>
        </w:tc>
      </w:tr>
    </w:tbl>
    <w:p w14:paraId="0F4D825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atLeast"/>
        <w:ind w:left="0" w:right="0" w:firstLine="643"/>
        <w:jc w:val="both"/>
        <w:rPr>
          <w:rFonts w:hint="default" w:ascii="Verdana" w:hAnsi="Verdana" w:eastAsia="Verdana" w:cs="Verdana"/>
          <w:i w:val="0"/>
          <w:iCs w:val="0"/>
          <w:caps w:val="0"/>
          <w:color w:val="484747"/>
          <w:spacing w:val="0"/>
          <w:sz w:val="21"/>
          <w:szCs w:val="21"/>
        </w:rPr>
      </w:pPr>
      <w:r>
        <w:rPr>
          <w:rFonts w:hint="eastAsia" w:ascii="黑体" w:hAnsi="宋体" w:eastAsia="黑体" w:cs="黑体"/>
          <w:b w:val="0"/>
          <w:bCs w:val="0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三、收到和处理政府信息公开申请情况</w:t>
      </w:r>
    </w:p>
    <w:tbl>
      <w:tblPr>
        <w:tblStyle w:val="3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68"/>
        <w:gridCol w:w="932"/>
        <w:gridCol w:w="3230"/>
        <w:gridCol w:w="663"/>
        <w:gridCol w:w="664"/>
        <w:gridCol w:w="664"/>
        <w:gridCol w:w="664"/>
        <w:gridCol w:w="664"/>
        <w:gridCol w:w="665"/>
        <w:gridCol w:w="834"/>
      </w:tblGrid>
      <w:tr w14:paraId="3A08B2E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150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AFD1FC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（本列数据的勾稽关系为：第一项加第二项之和，等于第三项加第四项之和）</w:t>
            </w:r>
          </w:p>
        </w:tc>
        <w:tc>
          <w:tcPr>
            <w:tcW w:w="4998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DEE3D7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申请人情况</w:t>
            </w:r>
          </w:p>
        </w:tc>
      </w:tr>
      <w:tr w14:paraId="7012C01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15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4E41451"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7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0E6842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自</w:t>
            </w:r>
          </w:p>
          <w:p w14:paraId="3FF64A0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然</w:t>
            </w:r>
          </w:p>
          <w:p w14:paraId="6746D2C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人</w:t>
            </w:r>
          </w:p>
        </w:tc>
        <w:tc>
          <w:tcPr>
            <w:tcW w:w="3441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096EB0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法人或其他组织</w:t>
            </w:r>
          </w:p>
        </w:tc>
        <w:tc>
          <w:tcPr>
            <w:tcW w:w="714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DA290F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总计</w:t>
            </w:r>
          </w:p>
        </w:tc>
      </w:tr>
      <w:tr w14:paraId="1959AB2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15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C31E565"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7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51FAB0A"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DAA379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商业</w:t>
            </w:r>
          </w:p>
          <w:p w14:paraId="5D4F33A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企业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22A0E3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科研</w:t>
            </w:r>
          </w:p>
          <w:p w14:paraId="7046A2F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机构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0BABC1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社会公益组织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9EB6A6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法律服务机构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F36EFB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其他</w:t>
            </w:r>
          </w:p>
        </w:tc>
        <w:tc>
          <w:tcPr>
            <w:tcW w:w="714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542EED8"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</w:tr>
      <w:tr w14:paraId="452CE58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96A2C0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一、本年新收政府信息公开申请数量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5EAD36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86F01D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2FC43F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224937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CC1EDB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FEA216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5C937C3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04195A6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8A8206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二、上年结转政府信息公开申请数量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6C336C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F1ADCC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D7AB94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5DAB41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98DD7E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94DE08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194E442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14617FE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restart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7678E0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三、本年度办理结果</w:t>
            </w: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CCD449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（一）予以公开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193B46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F8882C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F27BFA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8E9111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DF3E27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D68903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6E0BB33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748DCA3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0807A88"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8879BD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（二）部分公开</w:t>
            </w: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（区分处理的，只计这一情形，不计其他情形）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537742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27D162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16F39D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FE176C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15E153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C9959C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94C4E8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3346B1A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E1F51CC"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945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372BDF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（三）不予公开</w:t>
            </w:r>
          </w:p>
        </w:tc>
        <w:tc>
          <w:tcPr>
            <w:tcW w:w="32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06FA868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1.属于国家秘密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4F17D05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773B848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47C340D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6E07CE0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20F1B1D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3E89480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028A606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226EB51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5752037"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945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6920E14"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3DB1CC3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2.其他法律行政法规禁止公开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4AF98E9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2741E7B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1D5FA73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00E7024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432D86F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58C2E2F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44AB732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26CE741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BDB30E9"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945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FC807C9"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1A22A7E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3.危及“三安全一稳定”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319356F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61E7C3F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3236BFE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279A815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2836BFC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21C10B8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71DA739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49073DC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B4C457E"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945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CA56993"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0BA05F7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4.保护第三方合法权益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3632E2E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0974F99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0AEF968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1A6FEFE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4402B0A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2F7C110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0F52B54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773E4D1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506488D"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945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C5575CF"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5DA24EA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5.属于三类内部事务信息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48A9363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5CE89EB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0B391D1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7B57209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4EB0CBC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3A4250D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0E13E70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0E1DD4C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B817C8F"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945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4B269A4"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1A06AD5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6.属于四类过程性信息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256DC62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207ACEB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43B733E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79B0F41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3713151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604BF4B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6E13029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7D951C2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BA4B006"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945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B7475EA"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770AFD9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7.属于行政执法案卷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2D0B256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4E26946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331AFCE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3AEABA6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4D80DE7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4D9B6A8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66BE204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7C653A1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40A4C99"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945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3BC1A16"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5CA9CE2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8.属于行政查询事项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28A5559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010C3B0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4F09CCE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1161187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0904304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66E5FD6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52DB16F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35F692F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A3DBEBE"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945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BDBE1D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（四）无法提供</w:t>
            </w:r>
          </w:p>
        </w:tc>
        <w:tc>
          <w:tcPr>
            <w:tcW w:w="32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5D0575C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1.本机关不掌握相关政府信息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3AEF4CE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5DCBEE6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0C6BDA2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657FBB1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377D4CD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0B0E70B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4892E8E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19231D3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9926E3E"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945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B452E84"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6F5F420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2.没有现成信息需要另行制作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742D64A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4002EAE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3ACCC0E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445CDAA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72ECA22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1E23ABF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04178B1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530A522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7B2AA64"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945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36396A9"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08B99B0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3.补正后申请内容仍不明确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15FF8A8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28F82EB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28B5353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7BA58BE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27A0383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6C9DEA0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3A5F75C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776F515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E6D397F"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945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DEEFAC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（五）不予处理</w:t>
            </w:r>
          </w:p>
        </w:tc>
        <w:tc>
          <w:tcPr>
            <w:tcW w:w="32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1F6A8AF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1.信访举报投诉类申请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592B0A0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507DC90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08B855F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52E3AA2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281F4F7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5DF426C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78862FF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572A01E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F16206B"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945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AC55685"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4B06EBF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2.重复申请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047383B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2D258C2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5936B20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3246732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4FBB4B5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0756538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18BE77E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7E8C237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445DF32"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945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30A0BE1"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1BA7BC7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3.要求提供公开出版物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2AF48B5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68AB351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259116D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77625E1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7AFE96C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3C052F4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13C7F80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3932046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BD6A8DF"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945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72AACB7"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33C1181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4.无正当理由大量反复申请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5BFD8D0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1DC5823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0F9610C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5650321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4EAF736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5E192C3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407CBCB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3FC2A22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atLeast"/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1369FA0"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945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E75F827"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9CCF9B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5.要求行政机关确认或重新出具已获取信息</w:t>
            </w:r>
          </w:p>
        </w:tc>
        <w:tc>
          <w:tcPr>
            <w:tcW w:w="687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233AF9E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1A56860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3F7E1DA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0C795F4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0A3D449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1CC32A0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31FF9A1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371C4C8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5E603A5"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945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0F0A43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（六）其他处理</w:t>
            </w:r>
          </w:p>
        </w:tc>
        <w:tc>
          <w:tcPr>
            <w:tcW w:w="32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87D0DC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1.申请人无正当理由逾期不补正、行政机关不再处理其政府信息公开申请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F9B451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79B40F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FF8AD8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A2965E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B88D3D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A63291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B7705F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4C40135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8A47AF1"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945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07F28B3"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130A5A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2.申请人逾期未按收费通知要求缴纳费用、行政机关不再处理其政府信息公开申请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2DD1E3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D60D83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8DA56B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3CAE5F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3E526B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2CB46F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F7B1E3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09C27A1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2CB1D8D"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945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C2F7872"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D84543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3.其他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52455B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C702F9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9CED7A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7B71F1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AF48AC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DF57D5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7BDBC6C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2D8BA11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E4F2561"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8BDF31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（七）总计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B91BAA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8582FF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488A92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060205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F95F4D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92656B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3C8932C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12968B6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C2084A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四、结转下年度继续办理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208325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CA04CE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8AA089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FB9682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523054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867E40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3212C4D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hAnsi="Verdana" w:eastAsia="仿宋_GB2312" w:cs="仿宋_GB2312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</w:tbl>
    <w:p w14:paraId="6E9C363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atLeast"/>
        <w:ind w:left="0" w:right="0" w:firstLine="643"/>
        <w:jc w:val="both"/>
        <w:rPr>
          <w:rFonts w:hint="default" w:ascii="Verdana" w:hAnsi="Verdana" w:eastAsia="Verdana" w:cs="Verdana"/>
          <w:i w:val="0"/>
          <w:iCs w:val="0"/>
          <w:caps w:val="0"/>
          <w:color w:val="484747"/>
          <w:spacing w:val="0"/>
          <w:sz w:val="21"/>
          <w:szCs w:val="21"/>
        </w:rPr>
      </w:pPr>
      <w:r>
        <w:rPr>
          <w:rFonts w:hint="eastAsia" w:ascii="黑体" w:hAnsi="宋体" w:eastAsia="黑体" w:cs="黑体"/>
          <w:b w:val="0"/>
          <w:bCs w:val="0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四、政府信息公开行政复议、行政诉讼情况</w:t>
      </w:r>
    </w:p>
    <w:tbl>
      <w:tblPr>
        <w:tblStyle w:val="3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49"/>
        <w:gridCol w:w="649"/>
        <w:gridCol w:w="649"/>
        <w:gridCol w:w="649"/>
        <w:gridCol w:w="649"/>
        <w:gridCol w:w="649"/>
        <w:gridCol w:w="649"/>
        <w:gridCol w:w="650"/>
        <w:gridCol w:w="650"/>
        <w:gridCol w:w="650"/>
        <w:gridCol w:w="651"/>
        <w:gridCol w:w="651"/>
        <w:gridCol w:w="651"/>
        <w:gridCol w:w="651"/>
        <w:gridCol w:w="651"/>
      </w:tblGrid>
      <w:tr w14:paraId="5E7D833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21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17687F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default" w:ascii="仿宋_GB2312" w:hAnsi="Verdana" w:eastAsia="仿宋_GB2312" w:cs="仿宋_GB2312"/>
                <w:kern w:val="0"/>
                <w:sz w:val="24"/>
                <w:szCs w:val="24"/>
                <w:lang w:val="en-US" w:eastAsia="zh-CN" w:bidi="ar"/>
              </w:rPr>
              <w:t>行政复议</w:t>
            </w:r>
          </w:p>
        </w:tc>
        <w:tc>
          <w:tcPr>
            <w:tcW w:w="6428" w:type="dxa"/>
            <w:gridSpan w:val="10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7313FD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default" w:ascii="仿宋_GB2312" w:hAnsi="Verdana" w:eastAsia="仿宋_GB2312" w:cs="仿宋_GB2312"/>
                <w:kern w:val="0"/>
                <w:sz w:val="24"/>
                <w:szCs w:val="24"/>
                <w:lang w:val="en-US" w:eastAsia="zh-CN" w:bidi="ar"/>
              </w:rPr>
              <w:t>行政诉讼</w:t>
            </w:r>
          </w:p>
        </w:tc>
      </w:tr>
      <w:tr w14:paraId="555A19A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42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D60086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default" w:ascii="仿宋_GB2312" w:hAnsi="Verdana" w:eastAsia="仿宋_GB2312" w:cs="仿宋_GB2312"/>
                <w:kern w:val="0"/>
                <w:sz w:val="24"/>
                <w:szCs w:val="24"/>
                <w:lang w:val="en-US" w:eastAsia="zh-CN" w:bidi="ar"/>
              </w:rPr>
              <w:t>结果维持</w:t>
            </w:r>
          </w:p>
        </w:tc>
        <w:tc>
          <w:tcPr>
            <w:tcW w:w="642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523C3A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default" w:ascii="仿宋_GB2312" w:hAnsi="Verdana" w:eastAsia="仿宋_GB2312" w:cs="仿宋_GB2312"/>
                <w:kern w:val="0"/>
                <w:sz w:val="24"/>
                <w:szCs w:val="24"/>
                <w:lang w:val="en-US" w:eastAsia="zh-CN" w:bidi="ar"/>
              </w:rPr>
              <w:t>结果</w:t>
            </w:r>
            <w:r>
              <w:rPr>
                <w:rFonts w:hint="default" w:ascii="仿宋_GB2312" w:hAnsi="Verdana" w:eastAsia="仿宋_GB2312" w:cs="仿宋_GB2312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hint="default" w:ascii="仿宋_GB2312" w:hAnsi="Verdana" w:eastAsia="仿宋_GB2312" w:cs="仿宋_GB2312"/>
                <w:kern w:val="0"/>
                <w:sz w:val="24"/>
                <w:szCs w:val="24"/>
                <w:lang w:val="en-US" w:eastAsia="zh-CN" w:bidi="ar"/>
              </w:rPr>
              <w:t>纠正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195640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default" w:ascii="仿宋_GB2312" w:hAnsi="Verdana" w:eastAsia="仿宋_GB2312" w:cs="仿宋_GB2312"/>
                <w:kern w:val="0"/>
                <w:sz w:val="24"/>
                <w:szCs w:val="24"/>
                <w:lang w:val="en-US" w:eastAsia="zh-CN" w:bidi="ar"/>
              </w:rPr>
              <w:t>其他</w:t>
            </w:r>
            <w:r>
              <w:rPr>
                <w:rFonts w:hint="default" w:ascii="仿宋_GB2312" w:hAnsi="Verdana" w:eastAsia="仿宋_GB2312" w:cs="仿宋_GB2312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hint="default" w:ascii="仿宋_GB2312" w:hAnsi="Verdana" w:eastAsia="仿宋_GB2312" w:cs="仿宋_GB2312"/>
                <w:kern w:val="0"/>
                <w:sz w:val="24"/>
                <w:szCs w:val="24"/>
                <w:lang w:val="en-US" w:eastAsia="zh-CN" w:bidi="ar"/>
              </w:rPr>
              <w:t>结果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1347A7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default" w:ascii="仿宋_GB2312" w:hAnsi="Verdana" w:eastAsia="仿宋_GB2312" w:cs="仿宋_GB2312"/>
                <w:kern w:val="0"/>
                <w:sz w:val="24"/>
                <w:szCs w:val="24"/>
                <w:lang w:val="en-US" w:eastAsia="zh-CN" w:bidi="ar"/>
              </w:rPr>
              <w:t>尚未</w:t>
            </w:r>
            <w:r>
              <w:rPr>
                <w:rFonts w:hint="default" w:ascii="仿宋_GB2312" w:hAnsi="Verdana" w:eastAsia="仿宋_GB2312" w:cs="仿宋_GB2312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hint="default" w:ascii="仿宋_GB2312" w:hAnsi="Verdana" w:eastAsia="仿宋_GB2312" w:cs="仿宋_GB2312"/>
                <w:kern w:val="0"/>
                <w:sz w:val="24"/>
                <w:szCs w:val="24"/>
                <w:lang w:val="en-US" w:eastAsia="zh-CN" w:bidi="ar"/>
              </w:rPr>
              <w:t>审结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284030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default" w:ascii="仿宋_GB2312" w:hAnsi="Verdana" w:eastAsia="仿宋_GB2312" w:cs="仿宋_GB2312"/>
                <w:kern w:val="0"/>
                <w:sz w:val="24"/>
                <w:szCs w:val="24"/>
                <w:lang w:val="en-US" w:eastAsia="zh-CN" w:bidi="ar"/>
              </w:rPr>
              <w:t>总计</w:t>
            </w:r>
          </w:p>
        </w:tc>
        <w:tc>
          <w:tcPr>
            <w:tcW w:w="3213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F2606A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default" w:ascii="仿宋_GB2312" w:hAnsi="Verdana" w:eastAsia="仿宋_GB2312" w:cs="仿宋_GB2312"/>
                <w:kern w:val="0"/>
                <w:sz w:val="24"/>
                <w:szCs w:val="24"/>
                <w:lang w:val="en-US" w:eastAsia="zh-CN" w:bidi="ar"/>
              </w:rPr>
              <w:t>未经复议直接起诉</w:t>
            </w:r>
          </w:p>
        </w:tc>
        <w:tc>
          <w:tcPr>
            <w:tcW w:w="3215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C47AA9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default" w:ascii="仿宋_GB2312" w:hAnsi="Verdana" w:eastAsia="仿宋_GB2312" w:cs="仿宋_GB2312"/>
                <w:kern w:val="0"/>
                <w:sz w:val="24"/>
                <w:szCs w:val="24"/>
                <w:lang w:val="en-US" w:eastAsia="zh-CN" w:bidi="ar"/>
              </w:rPr>
              <w:t>复议后起诉</w:t>
            </w:r>
          </w:p>
        </w:tc>
      </w:tr>
      <w:tr w14:paraId="37ECFF4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42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4DA2A88"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42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307F4C1"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4D33A36"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047A729"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E7B2209">
            <w:pPr>
              <w:rPr>
                <w:rFonts w:hint="default"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57DDBC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default" w:ascii="仿宋_GB2312" w:hAnsi="Verdana" w:eastAsia="仿宋_GB2312" w:cs="仿宋_GB2312"/>
                <w:kern w:val="0"/>
                <w:sz w:val="24"/>
                <w:szCs w:val="24"/>
                <w:lang w:val="en-US" w:eastAsia="zh-CN" w:bidi="ar"/>
              </w:rPr>
              <w:t>结果</w:t>
            </w:r>
            <w:r>
              <w:rPr>
                <w:rFonts w:hint="default" w:ascii="仿宋_GB2312" w:hAnsi="Verdana" w:eastAsia="仿宋_GB2312" w:cs="仿宋_GB2312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hint="default" w:ascii="仿宋_GB2312" w:hAnsi="Verdana" w:eastAsia="仿宋_GB2312" w:cs="仿宋_GB2312"/>
                <w:kern w:val="0"/>
                <w:sz w:val="24"/>
                <w:szCs w:val="24"/>
                <w:lang w:val="en-US" w:eastAsia="zh-CN" w:bidi="ar"/>
              </w:rPr>
              <w:t>维持</w:t>
            </w:r>
          </w:p>
        </w:tc>
        <w:tc>
          <w:tcPr>
            <w:tcW w:w="6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E7CCFE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default" w:ascii="仿宋_GB2312" w:hAnsi="Verdana" w:eastAsia="仿宋_GB2312" w:cs="仿宋_GB2312"/>
                <w:kern w:val="0"/>
                <w:sz w:val="24"/>
                <w:szCs w:val="24"/>
                <w:lang w:val="en-US" w:eastAsia="zh-CN" w:bidi="ar"/>
              </w:rPr>
              <w:t>结果</w:t>
            </w:r>
            <w:r>
              <w:rPr>
                <w:rFonts w:hint="default" w:ascii="仿宋_GB2312" w:hAnsi="Verdana" w:eastAsia="仿宋_GB2312" w:cs="仿宋_GB2312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hint="default" w:ascii="仿宋_GB2312" w:hAnsi="Verdana" w:eastAsia="仿宋_GB2312" w:cs="仿宋_GB2312"/>
                <w:kern w:val="0"/>
                <w:sz w:val="24"/>
                <w:szCs w:val="24"/>
                <w:lang w:val="en-US" w:eastAsia="zh-CN" w:bidi="ar"/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F32F29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default" w:ascii="仿宋_GB2312" w:hAnsi="Verdana" w:eastAsia="仿宋_GB2312" w:cs="仿宋_GB2312"/>
                <w:kern w:val="0"/>
                <w:sz w:val="24"/>
                <w:szCs w:val="24"/>
                <w:lang w:val="en-US" w:eastAsia="zh-CN" w:bidi="ar"/>
              </w:rPr>
              <w:t>其他</w:t>
            </w:r>
            <w:r>
              <w:rPr>
                <w:rFonts w:hint="default" w:ascii="仿宋_GB2312" w:hAnsi="Verdana" w:eastAsia="仿宋_GB2312" w:cs="仿宋_GB2312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hint="default" w:ascii="仿宋_GB2312" w:hAnsi="Verdana" w:eastAsia="仿宋_GB2312" w:cs="仿宋_GB2312"/>
                <w:kern w:val="0"/>
                <w:sz w:val="24"/>
                <w:szCs w:val="24"/>
                <w:lang w:val="en-US" w:eastAsia="zh-CN" w:bidi="ar"/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2F4DC7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default" w:ascii="仿宋_GB2312" w:hAnsi="Verdana" w:eastAsia="仿宋_GB2312" w:cs="仿宋_GB2312"/>
                <w:kern w:val="0"/>
                <w:sz w:val="24"/>
                <w:szCs w:val="24"/>
                <w:lang w:val="en-US" w:eastAsia="zh-CN" w:bidi="ar"/>
              </w:rPr>
              <w:t>尚未</w:t>
            </w:r>
            <w:r>
              <w:rPr>
                <w:rFonts w:hint="default" w:ascii="仿宋_GB2312" w:hAnsi="Verdana" w:eastAsia="仿宋_GB2312" w:cs="仿宋_GB2312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hint="default" w:ascii="仿宋_GB2312" w:hAnsi="Verdana" w:eastAsia="仿宋_GB2312" w:cs="仿宋_GB2312"/>
                <w:kern w:val="0"/>
                <w:sz w:val="24"/>
                <w:szCs w:val="24"/>
                <w:lang w:val="en-US" w:eastAsia="zh-CN" w:bidi="ar"/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218335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default" w:ascii="仿宋_GB2312" w:hAnsi="Verdana" w:eastAsia="仿宋_GB2312" w:cs="仿宋_GB2312"/>
                <w:kern w:val="0"/>
                <w:sz w:val="24"/>
                <w:szCs w:val="24"/>
                <w:lang w:val="en-US" w:eastAsia="zh-CN" w:bidi="ar"/>
              </w:rPr>
              <w:t>总计</w:t>
            </w:r>
          </w:p>
        </w:tc>
        <w:tc>
          <w:tcPr>
            <w:tcW w:w="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B74A0E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default" w:ascii="仿宋_GB2312" w:hAnsi="Verdana" w:eastAsia="仿宋_GB2312" w:cs="仿宋_GB2312"/>
                <w:kern w:val="0"/>
                <w:sz w:val="24"/>
                <w:szCs w:val="24"/>
                <w:lang w:val="en-US" w:eastAsia="zh-CN" w:bidi="ar"/>
              </w:rPr>
              <w:t>结果</w:t>
            </w:r>
            <w:r>
              <w:rPr>
                <w:rFonts w:hint="default" w:ascii="仿宋_GB2312" w:hAnsi="Verdana" w:eastAsia="仿宋_GB2312" w:cs="仿宋_GB2312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hint="default" w:ascii="仿宋_GB2312" w:hAnsi="Verdana" w:eastAsia="仿宋_GB2312" w:cs="仿宋_GB2312"/>
                <w:kern w:val="0"/>
                <w:sz w:val="24"/>
                <w:szCs w:val="24"/>
                <w:lang w:val="en-US" w:eastAsia="zh-CN" w:bidi="ar"/>
              </w:rPr>
              <w:t>维持</w:t>
            </w:r>
          </w:p>
        </w:tc>
        <w:tc>
          <w:tcPr>
            <w:tcW w:w="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198457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default" w:ascii="仿宋_GB2312" w:hAnsi="Verdana" w:eastAsia="仿宋_GB2312" w:cs="仿宋_GB2312"/>
                <w:kern w:val="0"/>
                <w:sz w:val="24"/>
                <w:szCs w:val="24"/>
                <w:lang w:val="en-US" w:eastAsia="zh-CN" w:bidi="ar"/>
              </w:rPr>
              <w:t>结果</w:t>
            </w:r>
            <w:r>
              <w:rPr>
                <w:rFonts w:hint="default" w:ascii="仿宋_GB2312" w:hAnsi="Verdana" w:eastAsia="仿宋_GB2312" w:cs="仿宋_GB2312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hint="default" w:ascii="仿宋_GB2312" w:hAnsi="Verdana" w:eastAsia="仿宋_GB2312" w:cs="仿宋_GB2312"/>
                <w:kern w:val="0"/>
                <w:sz w:val="24"/>
                <w:szCs w:val="24"/>
                <w:lang w:val="en-US" w:eastAsia="zh-CN" w:bidi="ar"/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499190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default" w:ascii="仿宋_GB2312" w:hAnsi="Verdana" w:eastAsia="仿宋_GB2312" w:cs="仿宋_GB2312"/>
                <w:kern w:val="0"/>
                <w:sz w:val="24"/>
                <w:szCs w:val="24"/>
                <w:lang w:val="en-US" w:eastAsia="zh-CN" w:bidi="ar"/>
              </w:rPr>
              <w:t>其他</w:t>
            </w:r>
            <w:r>
              <w:rPr>
                <w:rFonts w:hint="default" w:ascii="仿宋_GB2312" w:hAnsi="Verdana" w:eastAsia="仿宋_GB2312" w:cs="仿宋_GB2312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hint="default" w:ascii="仿宋_GB2312" w:hAnsi="Verdana" w:eastAsia="仿宋_GB2312" w:cs="仿宋_GB2312"/>
                <w:kern w:val="0"/>
                <w:sz w:val="24"/>
                <w:szCs w:val="24"/>
                <w:lang w:val="en-US" w:eastAsia="zh-CN" w:bidi="ar"/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84E466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default" w:ascii="仿宋_GB2312" w:hAnsi="Verdana" w:eastAsia="仿宋_GB2312" w:cs="仿宋_GB2312"/>
                <w:kern w:val="0"/>
                <w:sz w:val="24"/>
                <w:szCs w:val="24"/>
                <w:lang w:val="en-US" w:eastAsia="zh-CN" w:bidi="ar"/>
              </w:rPr>
              <w:t>尚未</w:t>
            </w:r>
            <w:r>
              <w:rPr>
                <w:rFonts w:hint="default" w:ascii="仿宋_GB2312" w:hAnsi="Verdana" w:eastAsia="仿宋_GB2312" w:cs="仿宋_GB2312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hint="default" w:ascii="仿宋_GB2312" w:hAnsi="Verdana" w:eastAsia="仿宋_GB2312" w:cs="仿宋_GB2312"/>
                <w:kern w:val="0"/>
                <w:sz w:val="24"/>
                <w:szCs w:val="24"/>
                <w:lang w:val="en-US" w:eastAsia="zh-CN" w:bidi="ar"/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84B825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default" w:ascii="仿宋_GB2312" w:hAnsi="Verdana" w:eastAsia="仿宋_GB2312" w:cs="仿宋_GB2312"/>
                <w:kern w:val="0"/>
                <w:sz w:val="24"/>
                <w:szCs w:val="24"/>
                <w:lang w:val="en-US" w:eastAsia="zh-CN" w:bidi="ar"/>
              </w:rPr>
              <w:t>总计</w:t>
            </w:r>
          </w:p>
        </w:tc>
      </w:tr>
      <w:tr w14:paraId="0E6AF45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2" w:hRule="atLeast"/>
          <w:jc w:val="center"/>
        </w:trPr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EDCE65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default" w:ascii="仿宋_GB2312" w:hAnsi="Verdana" w:eastAsia="仿宋_GB2312" w:cs="仿宋_GB2312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FA0FC5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default" w:ascii="仿宋_GB2312" w:hAnsi="Verdana" w:eastAsia="仿宋_GB2312" w:cs="仿宋_GB2312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54C4FB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default" w:ascii="仿宋_GB2312" w:hAnsi="Verdana" w:eastAsia="仿宋_GB2312" w:cs="仿宋_GB2312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2569F0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default" w:ascii="仿宋_GB2312" w:hAnsi="Verdana" w:eastAsia="仿宋_GB2312" w:cs="仿宋_GB2312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16ABC8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default" w:ascii="仿宋_GB2312" w:hAnsi="Verdana" w:eastAsia="仿宋_GB2312" w:cs="仿宋_GB2312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EF8C5F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default" w:ascii="仿宋_GB2312" w:hAnsi="Verdana" w:eastAsia="仿宋_GB2312" w:cs="仿宋_GB2312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11B672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default" w:ascii="仿宋_GB2312" w:hAnsi="Verdana" w:eastAsia="仿宋_GB2312" w:cs="仿宋_GB2312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4E7579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default" w:ascii="仿宋_GB2312" w:hAnsi="Verdana" w:eastAsia="仿宋_GB2312" w:cs="仿宋_GB2312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793A0A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default" w:ascii="仿宋_GB2312" w:hAnsi="Verdana" w:eastAsia="仿宋_GB2312" w:cs="仿宋_GB2312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60DBE8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default" w:ascii="仿宋_GB2312" w:hAnsi="Verdana" w:eastAsia="仿宋_GB2312" w:cs="仿宋_GB2312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E683C9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default" w:ascii="仿宋_GB2312" w:hAnsi="Verdana" w:eastAsia="仿宋_GB2312" w:cs="仿宋_GB2312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E51EA4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default" w:ascii="仿宋_GB2312" w:hAnsi="Verdana" w:eastAsia="仿宋_GB2312" w:cs="仿宋_GB2312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BECEAA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default" w:ascii="仿宋_GB2312" w:hAnsi="Verdana" w:eastAsia="仿宋_GB2312" w:cs="仿宋_GB2312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7AAAF8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default" w:ascii="仿宋_GB2312" w:hAnsi="Verdana" w:eastAsia="仿宋_GB2312" w:cs="仿宋_GB2312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5FAFFA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default" w:ascii="仿宋_GB2312" w:hAnsi="Verdana" w:eastAsia="仿宋_GB2312" w:cs="仿宋_GB2312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</w:tr>
    </w:tbl>
    <w:p w14:paraId="1861809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atLeast"/>
        <w:ind w:left="0" w:right="0" w:firstLine="643"/>
        <w:jc w:val="both"/>
        <w:rPr>
          <w:rFonts w:hint="default" w:ascii="Verdana" w:hAnsi="Verdana" w:eastAsia="Verdana" w:cs="Verdana"/>
          <w:i w:val="0"/>
          <w:iCs w:val="0"/>
          <w:caps w:val="0"/>
          <w:color w:val="484747"/>
          <w:spacing w:val="0"/>
          <w:sz w:val="21"/>
          <w:szCs w:val="21"/>
        </w:rPr>
      </w:pPr>
      <w:r>
        <w:rPr>
          <w:rFonts w:hint="eastAsia" w:ascii="黑体" w:hAnsi="宋体" w:eastAsia="黑体" w:cs="黑体"/>
          <w:b w:val="0"/>
          <w:bCs w:val="0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五、存在的主要问题及改进情况</w:t>
      </w:r>
    </w:p>
    <w:p w14:paraId="688AF8D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atLeast"/>
        <w:ind w:left="0" w:right="0" w:firstLine="640"/>
        <w:jc w:val="both"/>
        <w:rPr>
          <w:rFonts w:hint="default" w:ascii="Verdana" w:hAnsi="Verdana" w:eastAsia="Verdana" w:cs="Verdana"/>
          <w:i w:val="0"/>
          <w:iCs w:val="0"/>
          <w:caps w:val="0"/>
          <w:color w:val="484747"/>
          <w:spacing w:val="0"/>
          <w:sz w:val="21"/>
          <w:szCs w:val="21"/>
        </w:rPr>
      </w:pPr>
      <w:r>
        <w:rPr>
          <w:rFonts w:hint="default" w:ascii="仿宋_GB2312" w:hAnsi="Verdana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2024年，</w:t>
      </w:r>
      <w:r>
        <w:rPr>
          <w:rFonts w:hint="eastAsia" w:ascii="仿宋_GB2312" w:hAnsi="Verdana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水堡</w:t>
      </w:r>
      <w:r>
        <w:rPr>
          <w:rFonts w:hint="default" w:ascii="仿宋_GB2312" w:hAnsi="Verdana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镇政府信息公开工作虽取得了一定进展，但距离县委、县政府和人民的要求还有一定差距。一是政府信息公开力度有待进一步加大，二是政府信息公开更新还不够及时，下一步，</w:t>
      </w:r>
      <w:r>
        <w:rPr>
          <w:rFonts w:hint="eastAsia" w:ascii="仿宋_GB2312" w:hAnsi="Verdana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水堡</w:t>
      </w:r>
      <w:r>
        <w:rPr>
          <w:rFonts w:hint="default" w:ascii="仿宋_GB2312" w:hAnsi="Verdana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镇将按照关于全面推进政务公开工作的部署要求，做好民政重点领域信息公开，加强政策解读发布，提高依申请公开案件办理质量，强化制度保障，以高质量的信息公开工作促进民政政策落地和服务水平提升。</w:t>
      </w:r>
    </w:p>
    <w:p w14:paraId="7245FB3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atLeast"/>
        <w:ind w:left="0" w:right="0" w:firstLine="643"/>
        <w:jc w:val="both"/>
        <w:rPr>
          <w:rFonts w:hint="default" w:ascii="Verdana" w:hAnsi="Verdana" w:eastAsia="Verdana" w:cs="Verdana"/>
          <w:i w:val="0"/>
          <w:iCs w:val="0"/>
          <w:caps w:val="0"/>
          <w:color w:val="484747"/>
          <w:spacing w:val="0"/>
          <w:sz w:val="21"/>
          <w:szCs w:val="21"/>
        </w:rPr>
      </w:pPr>
      <w:r>
        <w:rPr>
          <w:rFonts w:hint="eastAsia" w:ascii="黑体" w:hAnsi="宋体" w:eastAsia="黑体" w:cs="黑体"/>
          <w:b w:val="0"/>
          <w:bCs w:val="0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六、其他需要报告的事项</w:t>
      </w:r>
    </w:p>
    <w:p w14:paraId="747B679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atLeast"/>
        <w:ind w:left="0" w:right="0" w:firstLine="640"/>
        <w:jc w:val="left"/>
        <w:rPr>
          <w:rFonts w:hint="default" w:ascii="Verdana" w:hAnsi="Verdana" w:eastAsia="Verdana" w:cs="Verdana"/>
          <w:i w:val="0"/>
          <w:iCs w:val="0"/>
          <w:caps w:val="0"/>
          <w:color w:val="484747"/>
          <w:spacing w:val="0"/>
          <w:sz w:val="21"/>
          <w:szCs w:val="21"/>
        </w:rPr>
      </w:pPr>
      <w:r>
        <w:rPr>
          <w:rFonts w:hint="default" w:ascii="仿宋_GB2312" w:hAnsi="Verdana" w:eastAsia="仿宋_GB2312" w:cs="仿宋_GB2312"/>
          <w:i w:val="0"/>
          <w:iCs w:val="0"/>
          <w:caps w:val="0"/>
          <w:color w:val="484747"/>
          <w:spacing w:val="0"/>
          <w:kern w:val="0"/>
          <w:sz w:val="32"/>
          <w:szCs w:val="32"/>
          <w:shd w:val="clear" w:fill="FFFFFF"/>
          <w:lang w:val="en-US" w:eastAsia="zh-CN" w:bidi="ar"/>
        </w:rPr>
        <w:t>认真贯彻执行国务院办公厅《政府信息公开信息处理费管理办法》和《关于政府信息公开处理费管理有关事项的通知》。2024年我单位未收取信息处理费。</w:t>
      </w:r>
    </w:p>
    <w:p w14:paraId="57A290CB"/>
    <w:sectPr>
      <w:pgSz w:w="11906" w:h="16838"/>
      <w:pgMar w:top="1440" w:right="1800" w:bottom="1440" w:left="151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Verdana">
    <w:panose1 w:val="020B0604030504040204"/>
    <w:charset w:val="00"/>
    <w:family w:val="auto"/>
    <w:pitch w:val="default"/>
    <w:sig w:usb0="A10006FF" w:usb1="4000205B" w:usb2="00000010" w:usb3="00000000" w:csb0="2000019F" w:csb1="00000000"/>
  </w:font>
  <w:font w:name="方正小标宋简体">
    <w:altName w:val="黑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NhZTg3OWRiYjljNDMwZGI1MDRlM2RjZGE2MmNmODQifQ=="/>
    <w:docVar w:name="KSO_WPS_MARK_KEY" w:val="d614d9df-061b-408f-bc6a-10425c0ebca9"/>
  </w:docVars>
  <w:rsids>
    <w:rsidRoot w:val="672D68AE"/>
    <w:rsid w:val="39D058A4"/>
    <w:rsid w:val="3DD52CB6"/>
    <w:rsid w:val="62FD432D"/>
    <w:rsid w:val="672D68AE"/>
    <w:rsid w:val="72EE6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FollowedHyperlink"/>
    <w:basedOn w:val="4"/>
    <w:qFormat/>
    <w:uiPriority w:val="0"/>
    <w:rPr>
      <w:color w:val="333333"/>
      <w:u w:val="none"/>
    </w:rPr>
  </w:style>
  <w:style w:type="character" w:styleId="6">
    <w:name w:val="Emphasis"/>
    <w:basedOn w:val="4"/>
    <w:qFormat/>
    <w:uiPriority w:val="0"/>
    <w:rPr>
      <w:sz w:val="24"/>
      <w:szCs w:val="24"/>
    </w:rPr>
  </w:style>
  <w:style w:type="character" w:styleId="7">
    <w:name w:val="Hyperlink"/>
    <w:basedOn w:val="4"/>
    <w:qFormat/>
    <w:uiPriority w:val="0"/>
    <w:rPr>
      <w:color w:val="333333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921</Words>
  <Characters>937</Characters>
  <Lines>0</Lines>
  <Paragraphs>0</Paragraphs>
  <TotalTime>20</TotalTime>
  <ScaleCrop>false</ScaleCrop>
  <LinksUpToDate>false</LinksUpToDate>
  <CharactersWithSpaces>938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2024-01-25T09:35:00Z</dcterms:created>
  <dc:creator>Administrator</dc:creator>
  <cp:lastModifiedBy>难得糊涂</cp:lastModifiedBy>
  <dcterms:modified xsi:type="dcterms:W3CDTF">2025-01-21T06:41:06Z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82270943A5514AE0AF646F3007EFD160_11</vt:lpwstr>
  </property>
  <property fmtid="{D5CDD505-2E9C-101B-9397-08002B2CF9AE}" pid="4" name="KSOTemplateDocerSaveRecord">
    <vt:lpwstr>eyJoZGlkIjoiZDgzNTZiODBmYTNlMDYzYWFkYjVkY2RiODdiOTY0YjIiLCJ1c2VySWQiOiI0NjU0OTYxODkifQ==</vt:lpwstr>
  </property>
</Properties>
</file>