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rPr>
          <w:rFonts w:hint="eastAsia" w:eastAsia="宋体"/>
          <w:b/>
          <w:bCs w:val="0"/>
          <w:color w:val="000000" w:themeColor="text1"/>
          <w:sz w:val="44"/>
          <w:szCs w:val="44"/>
          <w:lang w:val="en-US" w:eastAsia="zh-CN"/>
          <w14:textFill>
            <w14:solidFill>
              <w14:schemeClr w14:val="tx1"/>
            </w14:solidFill>
          </w14:textFill>
        </w:rPr>
      </w:pPr>
      <w:r>
        <w:rPr>
          <w:rFonts w:hint="eastAsia"/>
          <w:b/>
          <w:bCs w:val="0"/>
          <w:color w:val="000000" w:themeColor="text1"/>
          <w:sz w:val="44"/>
          <w:szCs w:val="44"/>
          <w14:textFill>
            <w14:solidFill>
              <w14:schemeClr w14:val="tx1"/>
            </w14:solidFill>
          </w14:textFill>
        </w:rPr>
        <w:t>涞源县</w:t>
      </w:r>
      <w:r>
        <w:rPr>
          <w:rFonts w:hint="eastAsia"/>
          <w:b/>
          <w:bCs w:val="0"/>
          <w:color w:val="000000" w:themeColor="text1"/>
          <w:sz w:val="44"/>
          <w:szCs w:val="44"/>
          <w:lang w:eastAsia="zh-CN"/>
          <w14:textFill>
            <w14:solidFill>
              <w14:schemeClr w14:val="tx1"/>
            </w14:solidFill>
          </w14:textFill>
        </w:rPr>
        <w:t>市场监督管理局</w:t>
      </w: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pPr>
      <w:r>
        <w:rPr>
          <w:rFonts w:hint="eastAsia"/>
          <w:b/>
          <w:bCs w:val="0"/>
          <w:color w:val="000000" w:themeColor="text1"/>
          <w:sz w:val="44"/>
          <w:szCs w:val="44"/>
          <w14:textFill>
            <w14:solidFill>
              <w14:schemeClr w14:val="tx1"/>
            </w14:solidFill>
          </w14:textFill>
        </w:rPr>
        <w:t>202</w:t>
      </w:r>
      <w:r>
        <w:rPr>
          <w:rFonts w:hint="eastAsia"/>
          <w:b/>
          <w:bCs w:val="0"/>
          <w:color w:val="000000" w:themeColor="text1"/>
          <w:sz w:val="44"/>
          <w:szCs w:val="44"/>
          <w:lang w:val="en-US" w:eastAsia="zh-CN"/>
          <w14:textFill>
            <w14:solidFill>
              <w14:schemeClr w14:val="tx1"/>
            </w14:solidFill>
          </w14:textFill>
        </w:rPr>
        <w:t>4</w:t>
      </w:r>
      <w:r>
        <w:rPr>
          <w:rFonts w:hint="eastAsia"/>
          <w:b/>
          <w:bCs w:val="0"/>
          <w:color w:val="000000" w:themeColor="text1"/>
          <w:sz w:val="44"/>
          <w:szCs w:val="44"/>
          <w14:textFill>
            <w14:solidFill>
              <w14:schemeClr w14:val="tx1"/>
            </w14:solidFill>
          </w14:textFill>
        </w:rPr>
        <w:t>年政府信息公开年度报告</w:t>
      </w:r>
    </w:p>
    <w:p>
      <w:pPr>
        <w:pStyle w:val="4"/>
        <w:numPr>
          <w:ilvl w:val="0"/>
          <w:numId w:val="1"/>
        </w:numPr>
        <w:rPr>
          <w:rFonts w:hint="eastAsia"/>
          <w:b/>
          <w:bCs w:val="0"/>
          <w:sz w:val="32"/>
          <w:szCs w:val="32"/>
        </w:rPr>
      </w:pPr>
      <w:r>
        <w:rPr>
          <w:rFonts w:hint="eastAsia"/>
          <w:b/>
          <w:bCs w:val="0"/>
          <w:sz w:val="32"/>
          <w:szCs w:val="32"/>
        </w:rPr>
        <w:t>总体情况</w:t>
      </w:r>
    </w:p>
    <w:p>
      <w:pPr>
        <w:keepNext w:val="0"/>
        <w:keepLines w:val="0"/>
        <w:widowControl/>
        <w:suppressLineNumbers w:val="0"/>
        <w:jc w:val="left"/>
      </w:pPr>
      <w:r>
        <w:rPr>
          <w:rFonts w:ascii="仿宋_GB2312" w:hAnsi="宋体" w:eastAsia="仿宋_GB2312" w:cs="仿宋_GB2312"/>
          <w:bCs/>
          <w:i w:val="0"/>
          <w:iCs w:val="0"/>
          <w:caps w:val="0"/>
          <w:color w:val="333333"/>
          <w:spacing w:val="0"/>
          <w:kern w:val="0"/>
          <w:sz w:val="32"/>
          <w:szCs w:val="32"/>
          <w:shd w:val="clear" w:color="auto" w:fill="FFFFFF"/>
          <w:lang w:val="en-US" w:eastAsia="zh-CN" w:bidi="ar"/>
        </w:rPr>
        <w:t>202</w:t>
      </w:r>
      <w:r>
        <w:rPr>
          <w:rFonts w:hint="eastAsia" w:ascii="仿宋_GB2312" w:hAnsi="宋体" w:eastAsia="仿宋_GB2312" w:cs="仿宋_GB2312"/>
          <w:bCs/>
          <w:i w:val="0"/>
          <w:iCs w:val="0"/>
          <w:caps w:val="0"/>
          <w:color w:val="333333"/>
          <w:spacing w:val="0"/>
          <w:kern w:val="0"/>
          <w:sz w:val="32"/>
          <w:szCs w:val="32"/>
          <w:shd w:val="clear" w:color="auto" w:fill="FFFFFF"/>
          <w:lang w:val="en-US" w:eastAsia="zh-CN" w:bidi="ar"/>
        </w:rPr>
        <w:t>4</w:t>
      </w:r>
      <w:r>
        <w:rPr>
          <w:rFonts w:ascii="仿宋_GB2312" w:hAnsi="宋体" w:eastAsia="仿宋_GB2312" w:cs="仿宋_GB2312"/>
          <w:bCs/>
          <w:i w:val="0"/>
          <w:iCs w:val="0"/>
          <w:caps w:val="0"/>
          <w:color w:val="333333"/>
          <w:spacing w:val="0"/>
          <w:kern w:val="0"/>
          <w:sz w:val="32"/>
          <w:szCs w:val="32"/>
          <w:shd w:val="clear" w:color="auto" w:fill="FFFFFF"/>
          <w:lang w:val="en-US" w:eastAsia="zh-CN" w:bidi="ar"/>
        </w:rPr>
        <w:t>年，涞源县市场监督管理局在习近平新时代中国特色社会主义思想指引下，在县委、县政府的正确领导下，紧紧围绕县委、县政府中心工作，按照“保障市场安全底线、维护市场经营秩序、优化市场营商环境、激发市场主体活力、助力经济社会发展”总要求，不断解放思想，锐意创新，担当尽责。</w:t>
      </w:r>
    </w:p>
    <w:p>
      <w:pPr>
        <w:pStyle w:val="4"/>
        <w:numPr>
          <w:ilvl w:val="0"/>
          <w:numId w:val="0"/>
        </w:numPr>
        <w:rPr>
          <w:rFonts w:hint="eastAsia"/>
          <w:b/>
          <w:bCs w:val="0"/>
          <w:sz w:val="32"/>
          <w:szCs w:val="32"/>
        </w:rPr>
      </w:pPr>
    </w:p>
    <w:p>
      <w:pPr>
        <w:keepNext w:val="0"/>
        <w:keepLines w:val="0"/>
        <w:widowControl/>
        <w:suppressLineNumbers w:val="0"/>
        <w:jc w:val="left"/>
      </w:pPr>
      <w:r>
        <w:rPr>
          <w:rFonts w:hint="eastAsia"/>
          <w:color w:val="000000" w:themeColor="text1"/>
          <w:shd w:val="clear" w:color="auto" w:fill="auto"/>
          <w14:textFill>
            <w14:solidFill>
              <w14:schemeClr w14:val="tx1"/>
            </w14:solidFill>
          </w14:textFill>
        </w:rPr>
        <w:t>（一）主动公开：</w:t>
      </w:r>
      <w:r>
        <w:rPr>
          <w:rFonts w:ascii="仿宋_GB2312" w:hAnsi="宋体" w:eastAsia="仿宋_GB2312" w:cs="仿宋_GB2312"/>
          <w:bCs/>
          <w:i w:val="0"/>
          <w:iCs w:val="0"/>
          <w:caps w:val="0"/>
          <w:color w:val="333333"/>
          <w:spacing w:val="0"/>
          <w:kern w:val="0"/>
          <w:sz w:val="32"/>
          <w:szCs w:val="32"/>
          <w:shd w:val="clear" w:color="auto" w:fill="FFFFFF"/>
          <w:lang w:val="en-US" w:eastAsia="zh-CN" w:bidi="ar"/>
        </w:rPr>
        <w:t>严格按照政府信息公开要求，扎实开展政府信息公开工作，结合工作实际进行政府信息公开，</w:t>
      </w:r>
      <w:r>
        <w:rPr>
          <w:rFonts w:hint="default" w:ascii="仿宋_GB2312" w:hAnsi="宋体" w:eastAsia="仿宋_GB2312" w:cs="仿宋_GB2312"/>
          <w:bCs/>
          <w:i w:val="0"/>
          <w:iCs w:val="0"/>
          <w:caps w:val="0"/>
          <w:color w:val="333333"/>
          <w:spacing w:val="0"/>
          <w:kern w:val="0"/>
          <w:sz w:val="32"/>
          <w:szCs w:val="32"/>
          <w:shd w:val="clear" w:color="auto" w:fill="FFFFFF"/>
          <w:lang w:val="en-US" w:eastAsia="zh-CN" w:bidi="ar"/>
        </w:rPr>
        <w:t>202</w:t>
      </w:r>
      <w:r>
        <w:rPr>
          <w:rFonts w:hint="eastAsia" w:ascii="仿宋_GB2312" w:hAnsi="宋体" w:eastAsia="仿宋_GB2312" w:cs="仿宋_GB2312"/>
          <w:bCs/>
          <w:i w:val="0"/>
          <w:iCs w:val="0"/>
          <w:caps w:val="0"/>
          <w:color w:val="333333"/>
          <w:spacing w:val="0"/>
          <w:kern w:val="0"/>
          <w:sz w:val="32"/>
          <w:szCs w:val="32"/>
          <w:shd w:val="clear" w:color="auto" w:fill="FFFFFF"/>
          <w:lang w:val="en-US" w:eastAsia="zh-CN" w:bidi="ar"/>
        </w:rPr>
        <w:t>4</w:t>
      </w:r>
      <w:r>
        <w:rPr>
          <w:rFonts w:hint="default" w:ascii="仿宋_GB2312" w:hAnsi="宋体" w:eastAsia="仿宋_GB2312" w:cs="仿宋_GB2312"/>
          <w:bCs/>
          <w:i w:val="0"/>
          <w:iCs w:val="0"/>
          <w:caps w:val="0"/>
          <w:color w:val="333333"/>
          <w:spacing w:val="0"/>
          <w:kern w:val="0"/>
          <w:sz w:val="32"/>
          <w:szCs w:val="32"/>
          <w:shd w:val="clear" w:color="auto" w:fill="FFFFFF"/>
          <w:lang w:val="en-US" w:eastAsia="zh-CN" w:bidi="ar"/>
        </w:rPr>
        <w:t>年在局微信公众号发布、转发内容共</w:t>
      </w:r>
      <w:r>
        <w:rPr>
          <w:rFonts w:hint="eastAsia" w:ascii="仿宋_GB2312" w:hAnsi="宋体" w:eastAsia="仿宋_GB2312" w:cs="仿宋_GB2312"/>
          <w:bCs/>
          <w:i w:val="0"/>
          <w:iCs w:val="0"/>
          <w:caps w:val="0"/>
          <w:color w:val="333333"/>
          <w:spacing w:val="0"/>
          <w:kern w:val="0"/>
          <w:sz w:val="32"/>
          <w:szCs w:val="32"/>
          <w:shd w:val="clear" w:color="auto" w:fill="FFFFFF"/>
          <w:lang w:val="en-US" w:eastAsia="zh-CN" w:bidi="ar"/>
        </w:rPr>
        <w:t>643</w:t>
      </w:r>
      <w:r>
        <w:rPr>
          <w:rFonts w:hint="default" w:ascii="仿宋_GB2312" w:hAnsi="宋体" w:eastAsia="仿宋_GB2312" w:cs="仿宋_GB2312"/>
          <w:bCs/>
          <w:i w:val="0"/>
          <w:iCs w:val="0"/>
          <w:caps w:val="0"/>
          <w:color w:val="333333"/>
          <w:spacing w:val="0"/>
          <w:kern w:val="0"/>
          <w:sz w:val="32"/>
          <w:szCs w:val="32"/>
          <w:shd w:val="clear" w:color="auto" w:fill="FFFFFF"/>
          <w:lang w:val="en-US" w:eastAsia="zh-CN" w:bidi="ar"/>
        </w:rPr>
        <w:t>篇，同时积极向上级宣传平台提供信息，整体工作较往年有了进一步提升。</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p>
    <w:p>
      <w:pPr>
        <w:keepNext w:val="0"/>
        <w:keepLines w:val="0"/>
        <w:widowControl/>
        <w:suppressLineNumbers w:val="0"/>
        <w:jc w:val="left"/>
      </w:pPr>
      <w:r>
        <w:rPr>
          <w:rFonts w:hint="eastAsia"/>
          <w:color w:val="000000" w:themeColor="text1"/>
          <w:shd w:val="clear" w:color="auto" w:fill="auto"/>
          <w14:textFill>
            <w14:solidFill>
              <w14:schemeClr w14:val="tx1"/>
            </w14:solidFill>
          </w14:textFill>
        </w:rPr>
        <w:t>（二）依申请公开：</w:t>
      </w:r>
      <w:r>
        <w:rPr>
          <w:rFonts w:ascii="仿宋_GB2312" w:hAnsi="宋体" w:eastAsia="仿宋_GB2312" w:cs="仿宋_GB2312"/>
          <w:bCs/>
          <w:i w:val="0"/>
          <w:iCs w:val="0"/>
          <w:caps w:val="0"/>
          <w:color w:val="333333"/>
          <w:spacing w:val="0"/>
          <w:kern w:val="0"/>
          <w:sz w:val="32"/>
          <w:szCs w:val="32"/>
          <w:shd w:val="clear" w:color="auto" w:fill="FFFFFF"/>
          <w:lang w:val="en-US" w:eastAsia="zh-CN" w:bidi="ar"/>
        </w:rPr>
        <w:t>严格按照《中华人民共和国政府信息公开条例》，建立完善公开制度，我局于</w:t>
      </w:r>
      <w:r>
        <w:rPr>
          <w:rFonts w:hint="default" w:ascii="仿宋_GB2312" w:hAnsi="宋体" w:eastAsia="仿宋_GB2312" w:cs="仿宋_GB2312"/>
          <w:bCs/>
          <w:i w:val="0"/>
          <w:iCs w:val="0"/>
          <w:caps w:val="0"/>
          <w:color w:val="333333"/>
          <w:spacing w:val="0"/>
          <w:kern w:val="0"/>
          <w:sz w:val="32"/>
          <w:szCs w:val="32"/>
          <w:shd w:val="clear" w:color="auto" w:fill="FFFFFF"/>
          <w:lang w:val="en-US" w:eastAsia="zh-CN" w:bidi="ar"/>
        </w:rPr>
        <w:t>202</w:t>
      </w:r>
      <w:r>
        <w:rPr>
          <w:rFonts w:hint="eastAsia" w:ascii="仿宋_GB2312" w:hAnsi="宋体" w:eastAsia="仿宋_GB2312" w:cs="仿宋_GB2312"/>
          <w:bCs/>
          <w:i w:val="0"/>
          <w:iCs w:val="0"/>
          <w:caps w:val="0"/>
          <w:color w:val="333333"/>
          <w:spacing w:val="0"/>
          <w:kern w:val="0"/>
          <w:sz w:val="32"/>
          <w:szCs w:val="32"/>
          <w:shd w:val="clear" w:color="auto" w:fill="FFFFFF"/>
          <w:lang w:val="en-US" w:eastAsia="zh-CN" w:bidi="ar"/>
        </w:rPr>
        <w:t>4</w:t>
      </w:r>
      <w:r>
        <w:rPr>
          <w:rFonts w:hint="default" w:ascii="仿宋_GB2312" w:hAnsi="宋体" w:eastAsia="仿宋_GB2312" w:cs="仿宋_GB2312"/>
          <w:bCs/>
          <w:i w:val="0"/>
          <w:iCs w:val="0"/>
          <w:caps w:val="0"/>
          <w:color w:val="333333"/>
          <w:spacing w:val="0"/>
          <w:kern w:val="0"/>
          <w:sz w:val="32"/>
          <w:szCs w:val="32"/>
          <w:shd w:val="clear" w:color="auto" w:fill="FFFFFF"/>
          <w:lang w:val="en-US" w:eastAsia="zh-CN" w:bidi="ar"/>
        </w:rPr>
        <w:t>年未接到依申请公开事项及行政复议情况。</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color w:val="000000" w:themeColor="text1"/>
          <w14:textFill>
            <w14:solidFill>
              <w14:schemeClr w14:val="tx1"/>
            </w14:solidFill>
          </w14:textFill>
        </w:rPr>
      </w:pPr>
    </w:p>
    <w:p>
      <w:pPr>
        <w:keepNext w:val="0"/>
        <w:keepLines w:val="0"/>
        <w:widowControl/>
        <w:suppressLineNumbers w:val="0"/>
        <w:jc w:val="left"/>
      </w:pPr>
      <w:r>
        <w:rPr>
          <w:rFonts w:hint="eastAsia"/>
          <w:color w:val="000000" w:themeColor="text1"/>
          <w:shd w:val="clear" w:color="auto" w:fill="auto"/>
          <w14:textFill>
            <w14:solidFill>
              <w14:schemeClr w14:val="tx1"/>
            </w14:solidFill>
          </w14:textFill>
        </w:rPr>
        <w:t>（三）政府信息管理：</w:t>
      </w:r>
      <w:r>
        <w:rPr>
          <w:rFonts w:ascii="仿宋_GB2312" w:hAnsi="宋体" w:eastAsia="仿宋_GB2312" w:cs="仿宋_GB2312"/>
          <w:bCs/>
          <w:i w:val="0"/>
          <w:iCs w:val="0"/>
          <w:caps w:val="0"/>
          <w:color w:val="333333"/>
          <w:spacing w:val="0"/>
          <w:kern w:val="0"/>
          <w:sz w:val="32"/>
          <w:szCs w:val="32"/>
          <w:shd w:val="clear" w:color="auto" w:fill="FFFFFF"/>
          <w:lang w:val="en-US" w:eastAsia="zh-CN" w:bidi="ar"/>
        </w:rPr>
        <w:t>严格按照《中华人民共和国政府信息公开条例》及《中华人民共和国保守国家秘密法》有关规定，完善政府信息主动公开工作流程，规范做好政府信息公开保障工作。</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p>
    <w:p>
      <w:pPr>
        <w:keepNext w:val="0"/>
        <w:keepLines w:val="0"/>
        <w:widowControl/>
        <w:suppressLineNumbers w:val="0"/>
        <w:jc w:val="left"/>
      </w:pPr>
      <w:r>
        <w:rPr>
          <w:rFonts w:hint="eastAsia"/>
          <w:color w:val="000000" w:themeColor="text1"/>
          <w:shd w:val="clear" w:color="auto" w:fill="auto"/>
          <w14:textFill>
            <w14:solidFill>
              <w14:schemeClr w14:val="tx1"/>
            </w14:solidFill>
          </w14:textFill>
        </w:rPr>
        <w:t>（四）政府信息公开平台建设：</w:t>
      </w:r>
      <w:r>
        <w:rPr>
          <w:rFonts w:ascii="仿宋_GB2312" w:hAnsi="宋体" w:eastAsia="仿宋_GB2312" w:cs="仿宋_GB2312"/>
          <w:bCs/>
          <w:i w:val="0"/>
          <w:iCs w:val="0"/>
          <w:caps w:val="0"/>
          <w:color w:val="333333"/>
          <w:spacing w:val="0"/>
          <w:kern w:val="0"/>
          <w:sz w:val="32"/>
          <w:szCs w:val="32"/>
          <w:shd w:val="clear" w:color="auto" w:fill="FFFFFF"/>
          <w:lang w:val="en-US" w:eastAsia="zh-CN" w:bidi="ar"/>
        </w:rPr>
        <w:t>积极维护微信公众号，明确专人负责，积极推进重点领域信息公开，做到内容严格把关、更新及时准确，同时定期开展自查，做到发现问题及时整改。</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p>
    <w:p>
      <w:pPr>
        <w:keepNext w:val="0"/>
        <w:keepLines w:val="0"/>
        <w:widowControl/>
        <w:suppressLineNumbers w:val="0"/>
        <w:jc w:val="left"/>
      </w:pPr>
      <w:r>
        <w:rPr>
          <w:rFonts w:hint="eastAsia"/>
          <w:color w:val="000000" w:themeColor="text1"/>
          <w:shd w:val="clear" w:color="auto" w:fill="auto"/>
          <w14:textFill>
            <w14:solidFill>
              <w14:schemeClr w14:val="tx1"/>
            </w14:solidFill>
          </w14:textFill>
        </w:rPr>
        <w:t>（五）监督保障：</w:t>
      </w:r>
      <w:r>
        <w:rPr>
          <w:rFonts w:ascii="仿宋_GB2312" w:hAnsi="宋体" w:eastAsia="仿宋_GB2312" w:cs="仿宋_GB2312"/>
          <w:bCs/>
          <w:i w:val="0"/>
          <w:iCs w:val="0"/>
          <w:caps w:val="0"/>
          <w:color w:val="333333"/>
          <w:spacing w:val="0"/>
          <w:kern w:val="0"/>
          <w:sz w:val="32"/>
          <w:szCs w:val="32"/>
          <w:shd w:val="clear" w:color="auto" w:fill="FFFFFF"/>
          <w:lang w:val="en-US" w:eastAsia="zh-CN" w:bidi="ar"/>
        </w:rPr>
        <w:t>严格按照县政府要求，尽最大限度地实行公开，进一步提升市场监督管理局工作透明度，保障公众的知情权和监督权。</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color w:val="000000" w:themeColor="text1"/>
          <w14:textFill>
            <w14:solidFill>
              <w14:schemeClr w14:val="tx1"/>
            </w14:solidFill>
          </w14:textFill>
        </w:rPr>
      </w:pPr>
      <w:r>
        <w:rPr>
          <w:rFonts w:hint="eastAsia"/>
          <w:color w:val="000000" w:themeColor="text1"/>
          <w:shd w:val="clear" w:color="auto" w:fill="auto"/>
          <w14:textFill>
            <w14:solidFill>
              <w14:schemeClr w14:val="tx1"/>
            </w14:solidFill>
          </w14:textFill>
        </w:rPr>
        <w:t>报告中所列数据的统计期限自202</w:t>
      </w:r>
      <w:r>
        <w:rPr>
          <w:rFonts w:hint="eastAsia"/>
          <w:color w:val="000000" w:themeColor="text1"/>
          <w:shd w:val="clear" w:color="auto" w:fill="auto"/>
          <w:lang w:val="en-US" w:eastAsia="zh-CN"/>
          <w14:textFill>
            <w14:solidFill>
              <w14:schemeClr w14:val="tx1"/>
            </w14:solidFill>
          </w14:textFill>
        </w:rPr>
        <w:t>4</w:t>
      </w:r>
      <w:r>
        <w:rPr>
          <w:rFonts w:hint="eastAsia"/>
          <w:color w:val="000000" w:themeColor="text1"/>
          <w:shd w:val="clear" w:color="auto" w:fill="auto"/>
          <w14:textFill>
            <w14:solidFill>
              <w14:schemeClr w14:val="tx1"/>
            </w14:solidFill>
          </w14:textFill>
        </w:rPr>
        <w:t>年1月1日至202</w:t>
      </w:r>
      <w:r>
        <w:rPr>
          <w:rFonts w:hint="eastAsia"/>
          <w:color w:val="000000" w:themeColor="text1"/>
          <w:shd w:val="clear" w:color="auto" w:fill="auto"/>
          <w:lang w:val="en-US" w:eastAsia="zh-CN"/>
          <w14:textFill>
            <w14:solidFill>
              <w14:schemeClr w14:val="tx1"/>
            </w14:solidFill>
          </w14:textFill>
        </w:rPr>
        <w:t>4</w:t>
      </w:r>
      <w:r>
        <w:rPr>
          <w:rFonts w:hint="eastAsia"/>
          <w:color w:val="000000" w:themeColor="text1"/>
          <w:shd w:val="clear" w:color="auto" w:fill="auto"/>
          <w14:textFill>
            <w14:solidFill>
              <w14:schemeClr w14:val="tx1"/>
            </w14:solidFill>
          </w14:textFill>
        </w:rPr>
        <w:t>年12月31日。</w:t>
      </w:r>
    </w:p>
    <w:p>
      <w:pPr>
        <w:pStyle w:val="4"/>
        <w:rPr>
          <w:rFonts w:hint="eastAsia"/>
        </w:rPr>
      </w:pPr>
      <w:r>
        <w:rPr>
          <w:rFonts w:hint="eastAsia"/>
          <w:b/>
          <w:bCs w:val="0"/>
          <w:sz w:val="32"/>
          <w:szCs w:val="40"/>
        </w:rPr>
        <w:t>二、主动公开政府信息情况</w:t>
      </w:r>
    </w:p>
    <w:tbl>
      <w:tblPr>
        <w:tblStyle w:val="5"/>
        <w:tblW w:w="9740" w:type="dxa"/>
        <w:jc w:val="center"/>
        <w:tblLayout w:type="autofit"/>
        <w:tblCellMar>
          <w:top w:w="15" w:type="dxa"/>
          <w:left w:w="15" w:type="dxa"/>
          <w:bottom w:w="15" w:type="dxa"/>
          <w:right w:w="15" w:type="dxa"/>
        </w:tblCellMar>
      </w:tblPr>
      <w:tblGrid>
        <w:gridCol w:w="2435"/>
        <w:gridCol w:w="2435"/>
        <w:gridCol w:w="2435"/>
        <w:gridCol w:w="2435"/>
      </w:tblGrid>
      <w:tr>
        <w:tblPrEx>
          <w:tblCellMar>
            <w:top w:w="15" w:type="dxa"/>
            <w:left w:w="15" w:type="dxa"/>
            <w:bottom w:w="15" w:type="dxa"/>
            <w:right w:w="15"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rPr>
                <w:sz w:val="22"/>
                <w:szCs w:val="22"/>
              </w:rPr>
            </w:pPr>
            <w:r>
              <w:rPr>
                <w:rFonts w:hint="eastAsia"/>
                <w:sz w:val="22"/>
                <w:szCs w:val="22"/>
                <w:lang w:bidi="ar"/>
              </w:rPr>
              <w:t>第二十条第（一）项</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信息内容</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color w:val="000000"/>
                <w:sz w:val="22"/>
                <w:szCs w:val="22"/>
                <w:lang w:bidi="ar"/>
              </w:rPr>
              <w:t>本年</w:t>
            </w:r>
            <w:r>
              <w:rPr>
                <w:rFonts w:hint="eastAsia"/>
                <w:sz w:val="22"/>
                <w:szCs w:val="22"/>
                <w:lang w:bidi="ar"/>
              </w:rPr>
              <w:t>制发件数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本年废止件数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现行有效件数</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规章</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　　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　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rPr>
              <w:t>0</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行政规范性文件</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val="en-US" w:eastAsia="zh-CN" w:bidi="ar"/>
              </w:rPr>
              <w:t xml:space="preserve">    </w:t>
            </w:r>
            <w:r>
              <w:rPr>
                <w:sz w:val="22"/>
                <w:szCs w:val="22"/>
                <w:lang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　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sz w:val="22"/>
                <w:szCs w:val="22"/>
                <w:lang w:val="en-US" w:eastAsia="zh-CN"/>
              </w:rPr>
            </w:pPr>
            <w:r>
              <w:rPr>
                <w:rFonts w:hint="eastAsia"/>
                <w:sz w:val="22"/>
                <w:szCs w:val="22"/>
                <w:lang w:val="en-US" w:eastAsia="zh-CN"/>
              </w:rPr>
              <w:t>0</w:t>
            </w:r>
          </w:p>
        </w:tc>
      </w:tr>
      <w:tr>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rPr>
                <w:sz w:val="22"/>
                <w:szCs w:val="22"/>
              </w:rPr>
            </w:pPr>
            <w:r>
              <w:rPr>
                <w:rFonts w:hint="eastAsia"/>
                <w:sz w:val="22"/>
                <w:szCs w:val="22"/>
                <w:lang w:bidi="ar"/>
              </w:rPr>
              <w:t>第二十条第（五）项</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信息内容</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本年处理决定数量</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行政许可</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rPr>
              <w:t>0</w:t>
            </w:r>
          </w:p>
        </w:tc>
      </w:tr>
      <w:tr>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rPr>
                <w:sz w:val="22"/>
                <w:szCs w:val="22"/>
              </w:rPr>
            </w:pPr>
            <w:r>
              <w:rPr>
                <w:rFonts w:hint="eastAsia"/>
                <w:sz w:val="22"/>
                <w:szCs w:val="22"/>
                <w:lang w:bidi="ar"/>
              </w:rPr>
              <w:t>第二十条第（六）项</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信息内容</w:t>
            </w:r>
          </w:p>
        </w:tc>
        <w:tc>
          <w:tcPr>
            <w:tcW w:w="7305" w:type="dxa"/>
            <w:gridSpan w:val="3"/>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本年处理决定数量</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行政处罚</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default" w:eastAsia="仿宋"/>
                <w:sz w:val="22"/>
                <w:szCs w:val="22"/>
                <w:lang w:val="en-US" w:eastAsia="zh-CN"/>
              </w:rPr>
            </w:pPr>
            <w:r>
              <w:rPr>
                <w:rFonts w:hint="eastAsia"/>
                <w:sz w:val="22"/>
                <w:szCs w:val="22"/>
                <w:lang w:val="en-US" w:eastAsia="zh-CN" w:bidi="ar"/>
              </w:rPr>
              <w:t>278</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行政强制</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　0</w:t>
            </w:r>
          </w:p>
        </w:tc>
      </w:tr>
      <w:tr>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rPr>
                <w:sz w:val="22"/>
                <w:szCs w:val="22"/>
              </w:rPr>
            </w:pPr>
            <w:r>
              <w:rPr>
                <w:rFonts w:hint="eastAsia"/>
                <w:sz w:val="22"/>
                <w:szCs w:val="22"/>
                <w:lang w:bidi="ar"/>
              </w:rPr>
              <w:t>第二十条第（八）项</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信息内容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本年收费金额（单位：万元）</w:t>
            </w:r>
          </w:p>
        </w:tc>
      </w:tr>
      <w:tr>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sz w:val="22"/>
                <w:szCs w:val="22"/>
              </w:rPr>
            </w:pPr>
            <w:r>
              <w:rPr>
                <w:rFonts w:hint="eastAsia"/>
                <w:sz w:val="22"/>
                <w:szCs w:val="22"/>
                <w:lang w:bidi="ar"/>
              </w:rPr>
              <w:t>行政事业性收费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pPr>
              <w:jc w:val="center"/>
              <w:rPr>
                <w:sz w:val="22"/>
                <w:szCs w:val="22"/>
              </w:rPr>
            </w:pPr>
            <w:r>
              <w:rPr>
                <w:rFonts w:hint="eastAsia"/>
                <w:sz w:val="22"/>
                <w:szCs w:val="22"/>
              </w:rPr>
              <w:t>0</w:t>
            </w:r>
          </w:p>
        </w:tc>
      </w:tr>
    </w:tbl>
    <w:p>
      <w:pPr>
        <w:pStyle w:val="4"/>
      </w:pPr>
      <w:r>
        <w:rPr>
          <w:rFonts w:hint="eastAsia"/>
          <w:b/>
          <w:bCs w:val="0"/>
          <w:sz w:val="32"/>
          <w:szCs w:val="40"/>
        </w:rPr>
        <w:t>三、收到和处理政府信息公开申请情况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768"/>
        <w:gridCol w:w="945"/>
        <w:gridCol w:w="3217"/>
        <w:gridCol w:w="688"/>
        <w:gridCol w:w="688"/>
        <w:gridCol w:w="688"/>
        <w:gridCol w:w="688"/>
        <w:gridCol w:w="688"/>
        <w:gridCol w:w="689"/>
        <w:gridCol w:w="689"/>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restart"/>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pPr>
              <w:rPr>
                <w:color w:val="000000" w:themeColor="text1"/>
                <w:sz w:val="21"/>
                <w:szCs w:val="21"/>
                <w14:textFill>
                  <w14:solidFill>
                    <w14:schemeClr w14:val="tx1"/>
                  </w14:solidFill>
                </w14:textFill>
              </w:rPr>
            </w:pPr>
            <w:r>
              <w:rPr>
                <w:color w:val="000000" w:themeColor="text1"/>
                <w:sz w:val="21"/>
                <w:szCs w:val="21"/>
                <w:lang w:bidi="ar"/>
                <w14:textFill>
                  <w14:solidFill>
                    <w14:schemeClr w14:val="tx1"/>
                  </w14:solidFill>
                </w14:textFill>
              </w:rPr>
              <w:t>（本列数据的勾稽关系为：第一项加第二项之和，等于第三项加第四项之和）</w:t>
            </w:r>
          </w:p>
        </w:tc>
        <w:tc>
          <w:tcPr>
            <w:tcW w:w="4998" w:type="dxa"/>
            <w:gridSpan w:val="7"/>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申请人情况</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pPr>
              <w:rPr>
                <w:color w:val="000000" w:themeColor="text1"/>
                <w:sz w:val="21"/>
                <w:szCs w:val="21"/>
                <w14:textFill>
                  <w14:solidFill>
                    <w14:schemeClr w14:val="tx1"/>
                  </w14:solidFill>
                </w14:textFill>
              </w:rPr>
            </w:pPr>
          </w:p>
        </w:tc>
        <w:tc>
          <w:tcPr>
            <w:tcW w:w="714" w:type="dxa"/>
            <w:vMerge w:val="restart"/>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自</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然</w:t>
            </w:r>
          </w:p>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人</w:t>
            </w:r>
          </w:p>
        </w:tc>
        <w:tc>
          <w:tcPr>
            <w:tcW w:w="3570" w:type="dxa"/>
            <w:gridSpan w:val="5"/>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法人或其他组织</w:t>
            </w:r>
          </w:p>
        </w:tc>
        <w:tc>
          <w:tcPr>
            <w:tcW w:w="714" w:type="dxa"/>
            <w:vMerge w:val="restart"/>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pPr>
              <w:rPr>
                <w:color w:val="000000" w:themeColor="text1"/>
                <w:sz w:val="21"/>
                <w:szCs w:val="21"/>
                <w14:textFill>
                  <w14:solidFill>
                    <w14:schemeClr w14:val="tx1"/>
                  </w14:solidFill>
                </w14:textFill>
              </w:rPr>
            </w:pPr>
          </w:p>
        </w:tc>
        <w:tc>
          <w:tcPr>
            <w:tcW w:w="714" w:type="dxa"/>
            <w:vMerge w:val="continue"/>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商业</w:t>
            </w:r>
          </w:p>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企业</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科研</w:t>
            </w:r>
          </w:p>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机构</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社会公益组织</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法律服务机构</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其他</w:t>
            </w:r>
          </w:p>
        </w:tc>
        <w:tc>
          <w:tcPr>
            <w:tcW w:w="714" w:type="dxa"/>
            <w:vMerge w:val="continue"/>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一、本年新收政府信息公开申请数量</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二、上年结转政府信息公开申请数量</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restart"/>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三、本年度办理结果</w:t>
            </w: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（一）予以公开</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98" w:hRule="atLeast"/>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（二）部分公开</w:t>
            </w:r>
            <w:r>
              <w:rPr>
                <w:rFonts w:hint="eastAsia"/>
                <w:color w:val="000000" w:themeColor="text1"/>
                <w:sz w:val="21"/>
                <w:szCs w:val="21"/>
                <w:lang w:bidi="ar"/>
                <w14:textFill>
                  <w14:solidFill>
                    <w14:schemeClr w14:val="tx1"/>
                  </w14:solidFill>
                </w14:textFill>
              </w:rPr>
              <w:t>（区分处理的，只计这一情形，不计其他情形）</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（三）不予公开</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1.属于国家秘密</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2.其他法律行政法规禁止公开</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3.危及“三安全一稳定”</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4.保护第三方合法权益</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5.属于三类内部事务信息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6.属于四类过程性信息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7.属于行政执法案卷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8.属于行政查询事项</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（四）无法提供</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1.本机关不掌握相关政府信息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2.没有现成信息需要另行制作</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3.补正后申请内容仍不明确</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（五）不予处理</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1.信访举报投诉类申请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2.重复申请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3.要求提供公开出版物</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4.无正当理由大量反复申请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79" w:hRule="atLeast"/>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5.要求行政机关确认或重新出具已获取信息</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pP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restart"/>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（六）其他处理</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1.申请人无正当理由逾期不补正、行政机关不再处理其政府信息公开申请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2.申请人逾期未按收费通知要求缴纳费用、行政机关不再处理其政府信息公开申请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959"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3.其他</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（七）总计</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四、结转下年度继续办理</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bl>
    <w:p>
      <w:pPr>
        <w:pStyle w:val="4"/>
      </w:pPr>
      <w:r>
        <w:rPr>
          <w:rFonts w:hint="eastAsia"/>
          <w:b/>
          <w:bCs w:val="0"/>
          <w:sz w:val="32"/>
          <w:szCs w:val="40"/>
        </w:rPr>
        <w:t>四、政府信息公开行政复议、行政诉讼情况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649"/>
        <w:gridCol w:w="649"/>
        <w:gridCol w:w="649"/>
        <w:gridCol w:w="649"/>
        <w:gridCol w:w="649"/>
        <w:gridCol w:w="649"/>
        <w:gridCol w:w="649"/>
        <w:gridCol w:w="650"/>
        <w:gridCol w:w="650"/>
        <w:gridCol w:w="650"/>
        <w:gridCol w:w="651"/>
        <w:gridCol w:w="651"/>
        <w:gridCol w:w="651"/>
        <w:gridCol w:w="651"/>
        <w:gridCol w:w="651"/>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17" w:hRule="atLeast"/>
          <w:jc w:val="center"/>
        </w:trPr>
        <w:tc>
          <w:tcPr>
            <w:tcW w:w="3210"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行政复议</w:t>
            </w:r>
          </w:p>
        </w:tc>
        <w:tc>
          <w:tcPr>
            <w:tcW w:w="6428" w:type="dxa"/>
            <w:gridSpan w:val="10"/>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行政诉讼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结果维持</w:t>
            </w:r>
          </w:p>
        </w:tc>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c>
          <w:tcPr>
            <w:tcW w:w="3213"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未经复议直接起诉</w:t>
            </w:r>
          </w:p>
        </w:tc>
        <w:tc>
          <w:tcPr>
            <w:tcW w:w="3215"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复议后起诉</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维持</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维持</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72" w:hRule="atLeast"/>
          <w:jc w:val="center"/>
        </w:trPr>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default"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r>
    </w:tbl>
    <w:p>
      <w:pPr>
        <w:pStyle w:val="4"/>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textAlignment w:val="auto"/>
        <w:rPr>
          <w:rFonts w:hint="eastAsia"/>
          <w:b/>
          <w:bCs w:val="0"/>
          <w:sz w:val="32"/>
          <w:szCs w:val="40"/>
          <w:lang w:val="en-US" w:eastAsia="zh-CN"/>
        </w:rPr>
      </w:pPr>
    </w:p>
    <w:p>
      <w:pPr>
        <w:pStyle w:val="4"/>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textAlignment w:val="auto"/>
        <w:rPr>
          <w:rFonts w:hint="eastAsia"/>
          <w:b/>
          <w:bCs w:val="0"/>
          <w:sz w:val="32"/>
          <w:szCs w:val="40"/>
          <w:lang w:val="en-US" w:eastAsia="zh-CN"/>
        </w:rPr>
      </w:pPr>
      <w:bookmarkStart w:id="0" w:name="_GoBack"/>
      <w:bookmarkEnd w:id="0"/>
    </w:p>
    <w:p>
      <w:pPr>
        <w:pStyle w:val="4"/>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textAlignment w:val="auto"/>
        <w:rPr>
          <w:rFonts w:hint="eastAsia"/>
          <w:b/>
          <w:bCs w:val="0"/>
          <w:sz w:val="32"/>
          <w:szCs w:val="40"/>
          <w:lang w:val="en-US" w:eastAsia="zh-CN"/>
        </w:rPr>
      </w:pPr>
    </w:p>
    <w:p>
      <w:pPr>
        <w:pStyle w:val="4"/>
        <w:keepNext w:val="0"/>
        <w:keepLines w:val="0"/>
        <w:pageBreakBefore w:val="0"/>
        <w:widowControl/>
        <w:numPr>
          <w:ilvl w:val="0"/>
          <w:numId w:val="2"/>
        </w:numPr>
        <w:kinsoku/>
        <w:wordWrap/>
        <w:overflowPunct/>
        <w:topLinePunct w:val="0"/>
        <w:autoSpaceDE/>
        <w:autoSpaceDN/>
        <w:bidi w:val="0"/>
        <w:adjustRightInd/>
        <w:snapToGrid/>
        <w:spacing w:before="0" w:beforeAutospacing="0" w:after="0" w:afterAutospacing="0"/>
        <w:textAlignment w:val="auto"/>
        <w:rPr>
          <w:rFonts w:hint="eastAsia"/>
          <w:b/>
          <w:bCs w:val="0"/>
          <w:sz w:val="32"/>
          <w:szCs w:val="40"/>
        </w:rPr>
      </w:pPr>
      <w:r>
        <w:rPr>
          <w:rFonts w:hint="eastAsia"/>
          <w:b/>
          <w:bCs w:val="0"/>
          <w:sz w:val="32"/>
          <w:szCs w:val="40"/>
        </w:rPr>
        <w:t>存在的主要问题及改进情况</w:t>
      </w:r>
    </w:p>
    <w:p>
      <w:pPr>
        <w:keepNext w:val="0"/>
        <w:keepLines w:val="0"/>
        <w:widowControl/>
        <w:suppressLineNumbers w:val="0"/>
        <w:ind w:firstLine="640" w:firstLineChars="200"/>
        <w:jc w:val="left"/>
      </w:pPr>
      <w:r>
        <w:rPr>
          <w:rFonts w:ascii="仿宋_GB2312" w:hAnsi="宋体" w:eastAsia="仿宋_GB2312" w:cs="仿宋_GB2312"/>
          <w:bCs/>
          <w:i w:val="0"/>
          <w:iCs w:val="0"/>
          <w:caps w:val="0"/>
          <w:color w:val="333333"/>
          <w:spacing w:val="0"/>
          <w:kern w:val="0"/>
          <w:sz w:val="32"/>
          <w:szCs w:val="32"/>
          <w:shd w:val="clear" w:color="auto" w:fill="FFFFFF"/>
          <w:lang w:val="en-US" w:eastAsia="zh-CN" w:bidi="ar"/>
        </w:rPr>
        <w:t>一年来，在全体干部职工的共同努力下，涞源县市场监管局圆满完成了县委、县政府和市局交办的各项政务信息公开任务，取得了一些成绩，但离群众的期盼，组织的要求还有一定的差距：一是部分人员缺乏政务信息公开相关知识，对政务信息公开工作的参与积极性不高。二是政务信息公开工作的内容尚不够系统，政务信息公开存在不及时现象。三是政务信息公开工作人员人手不足，由于印发信息公开工作人员主要是兼职工作，在日常事务繁多的情况下，政务信息公开录入存在滞后的现象。</w:t>
      </w:r>
    </w:p>
    <w:p>
      <w:pPr>
        <w:pStyle w:val="4"/>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textAlignment w:val="auto"/>
        <w:rPr>
          <w:rFonts w:hint="eastAsia"/>
          <w:b/>
          <w:bCs w:val="0"/>
          <w:sz w:val="32"/>
          <w:szCs w:val="40"/>
        </w:rPr>
      </w:pP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b/>
          <w:bCs w:val="0"/>
          <w:sz w:val="32"/>
          <w:szCs w:val="40"/>
        </w:rPr>
      </w:pPr>
      <w:r>
        <w:rPr>
          <w:rFonts w:hint="eastAsia"/>
          <w:b/>
          <w:bCs w:val="0"/>
          <w:sz w:val="32"/>
          <w:szCs w:val="40"/>
        </w:rPr>
        <w:t>六、其他需要报告的事项</w:t>
      </w:r>
    </w:p>
    <w:p>
      <w:pPr>
        <w:pStyle w:val="4"/>
        <w:keepNext w:val="0"/>
        <w:keepLines w:val="0"/>
        <w:pageBreakBefore w:val="0"/>
        <w:widowControl/>
        <w:kinsoku/>
        <w:wordWrap/>
        <w:overflowPunct/>
        <w:topLinePunct w:val="0"/>
        <w:autoSpaceDE/>
        <w:autoSpaceDN/>
        <w:bidi w:val="0"/>
        <w:adjustRightInd/>
        <w:snapToGrid/>
        <w:spacing w:before="0" w:beforeAutospacing="0" w:after="0" w:afterAutospacing="0"/>
        <w:ind w:firstLine="640" w:firstLineChars="200"/>
        <w:textAlignment w:val="auto"/>
        <w:rPr>
          <w:rFonts w:hint="eastAsia" w:ascii="仿宋" w:hAnsi="仿宋" w:eastAsia="仿宋" w:cs="仿宋"/>
          <w:sz w:val="32"/>
          <w:szCs w:val="40"/>
        </w:rPr>
      </w:pPr>
      <w:r>
        <w:rPr>
          <w:rFonts w:hint="eastAsia" w:ascii="仿宋" w:hAnsi="仿宋" w:eastAsia="仿宋" w:cs="仿宋"/>
          <w:sz w:val="32"/>
          <w:szCs w:val="40"/>
        </w:rPr>
        <w:t>认真贯彻执行国务院办公厅《政府信息公开信息处理费管理办法》和《关于政府信息公开处理费管理有关事项的通知》。202</w:t>
      </w:r>
      <w:r>
        <w:rPr>
          <w:rFonts w:hint="eastAsia" w:ascii="仿宋" w:hAnsi="仿宋" w:eastAsia="仿宋" w:cs="仿宋"/>
          <w:sz w:val="32"/>
          <w:szCs w:val="40"/>
          <w:lang w:val="en-US" w:eastAsia="zh-CN"/>
        </w:rPr>
        <w:t>4</w:t>
      </w:r>
      <w:r>
        <w:rPr>
          <w:rFonts w:hint="eastAsia" w:ascii="仿宋" w:hAnsi="仿宋" w:eastAsia="仿宋" w:cs="仿宋"/>
          <w:sz w:val="32"/>
          <w:szCs w:val="40"/>
        </w:rPr>
        <w:t>年我</w:t>
      </w:r>
      <w:r>
        <w:rPr>
          <w:rFonts w:hint="eastAsia" w:ascii="仿宋" w:hAnsi="仿宋" w:eastAsia="仿宋" w:cs="仿宋"/>
          <w:sz w:val="32"/>
          <w:szCs w:val="40"/>
          <w:lang w:val="en-US" w:eastAsia="zh-CN"/>
        </w:rPr>
        <w:t>单位</w:t>
      </w:r>
      <w:r>
        <w:rPr>
          <w:rFonts w:hint="eastAsia" w:ascii="仿宋" w:hAnsi="仿宋" w:eastAsia="仿宋" w:cs="仿宋"/>
          <w:sz w:val="32"/>
          <w:szCs w:val="40"/>
        </w:rPr>
        <w:t>未收取信息处理费。</w:t>
      </w:r>
    </w:p>
    <w:p>
      <w:pPr>
        <w:pStyle w:val="4"/>
      </w:pPr>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方正黑体_GBK">
    <w:panose1 w:val="02000000000000000000"/>
    <w:charset w:val="86"/>
    <w:family w:val="auto"/>
    <w:pitch w:val="default"/>
    <w:sig w:usb0="00000001" w:usb1="08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F68C2C"/>
    <w:multiLevelType w:val="singleLevel"/>
    <w:tmpl w:val="BDF68C2C"/>
    <w:lvl w:ilvl="0" w:tentative="0">
      <w:start w:val="5"/>
      <w:numFmt w:val="chineseCounting"/>
      <w:suff w:val="nothing"/>
      <w:lvlText w:val="%1、"/>
      <w:lvlJc w:val="left"/>
      <w:rPr>
        <w:rFonts w:hint="eastAsia"/>
      </w:rPr>
    </w:lvl>
  </w:abstractNum>
  <w:abstractNum w:abstractNumId="1">
    <w:nsid w:val="FC2A9461"/>
    <w:multiLevelType w:val="singleLevel"/>
    <w:tmpl w:val="FC2A9461"/>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iNDUwMjczYjRkMjE5NmQ3OGVlZjgxMmE2ZjhjZTMifQ=="/>
  </w:docVars>
  <w:rsids>
    <w:rsidRoot w:val="3E5B229F"/>
    <w:rsid w:val="00013325"/>
    <w:rsid w:val="003F474B"/>
    <w:rsid w:val="006000DD"/>
    <w:rsid w:val="00601565"/>
    <w:rsid w:val="00692E1B"/>
    <w:rsid w:val="00754D50"/>
    <w:rsid w:val="00976581"/>
    <w:rsid w:val="00BC7FF5"/>
    <w:rsid w:val="00DF58E6"/>
    <w:rsid w:val="00FF7963"/>
    <w:rsid w:val="093F0D49"/>
    <w:rsid w:val="259D0E7A"/>
    <w:rsid w:val="302857C1"/>
    <w:rsid w:val="34880F47"/>
    <w:rsid w:val="3D3F5700"/>
    <w:rsid w:val="3DAF755A"/>
    <w:rsid w:val="3E5B229F"/>
    <w:rsid w:val="440427CF"/>
    <w:rsid w:val="47F6649C"/>
    <w:rsid w:val="5BFE818C"/>
    <w:rsid w:val="6D6B5CE1"/>
    <w:rsid w:val="6F85042D"/>
    <w:rsid w:val="72826491"/>
    <w:rsid w:val="749C3A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jc w:val="center"/>
    </w:pPr>
    <w:rPr>
      <w:rFonts w:ascii="仿宋" w:hAnsi="仿宋" w:eastAsia="仿宋" w:cs="仿宋"/>
      <w:bCs/>
      <w:color w:val="333333"/>
      <w:kern w:val="2"/>
      <w:sz w:val="32"/>
      <w:szCs w:val="32"/>
      <w:shd w:val="clear" w:color="auto" w:fill="FFFFFF"/>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sz w:val="18"/>
      <w:szCs w:val="18"/>
    </w:rPr>
  </w:style>
  <w:style w:type="paragraph" w:styleId="3">
    <w:name w:val="header"/>
    <w:basedOn w:val="1"/>
    <w:link w:val="7"/>
    <w:qFormat/>
    <w:uiPriority w:val="0"/>
    <w:pPr>
      <w:pBdr>
        <w:bottom w:val="single" w:color="auto" w:sz="6" w:space="1"/>
      </w:pBdr>
      <w:tabs>
        <w:tab w:val="center" w:pos="4153"/>
        <w:tab w:val="right" w:pos="8306"/>
      </w:tabs>
      <w:snapToGrid w:val="0"/>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color w:val="000000"/>
      <w:kern w:val="0"/>
      <w:sz w:val="24"/>
    </w:rPr>
  </w:style>
  <w:style w:type="character" w:customStyle="1" w:styleId="7">
    <w:name w:val="页眉 Char"/>
    <w:basedOn w:val="6"/>
    <w:link w:val="3"/>
    <w:qFormat/>
    <w:uiPriority w:val="0"/>
    <w:rPr>
      <w:rFonts w:ascii="仿宋_GB2312" w:eastAsia="仿宋_GB2312"/>
      <w:kern w:val="2"/>
      <w:sz w:val="18"/>
      <w:szCs w:val="18"/>
    </w:rPr>
  </w:style>
  <w:style w:type="character" w:customStyle="1" w:styleId="8">
    <w:name w:val="页脚 Char"/>
    <w:basedOn w:val="6"/>
    <w:link w:val="2"/>
    <w:qFormat/>
    <w:uiPriority w:val="0"/>
    <w:rPr>
      <w:rFonts w:ascii="仿宋_GB2312" w:eastAsia="仿宋_GB2312"/>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4</Pages>
  <Words>1084</Words>
  <Characters>1119</Characters>
  <Lines>15</Lines>
  <Paragraphs>4</Paragraphs>
  <TotalTime>43</TotalTime>
  <ScaleCrop>false</ScaleCrop>
  <LinksUpToDate>false</LinksUpToDate>
  <CharactersWithSpaces>1129</CharactersWithSpaces>
  <Application>WPS Office_11.8.2.12024_F1E327BC-269C-435d-A152-05C5408002CA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2019-12-30T03:38:00Z</dcterms:created>
  <dc:creator>小公举</dc:creator>
  <cp:lastModifiedBy>user</cp:lastModifiedBy>
  <cp:lastPrinted>2019-12-30T03:40:00Z</cp:lastPrinted>
  <dcterms:modified xsi:type="dcterms:W3CDTF">2025-01-20T11:01:00Z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2052-11.8.2.12024</vt:lpwstr>
  </property>
  <property fmtid="{D5CDD505-2E9C-101B-9397-08002B2CF9AE}" pid="3" name="ICV">
    <vt:lpwstr>E5E66BFF1D8CD7BD6CBC8D67FA955F6D</vt:lpwstr>
  </property>
  <property fmtid="{D5CDD505-2E9C-101B-9397-08002B2CF9AE}" pid="4" name="KSOTemplateDocerSaveRecord">
    <vt:lpwstr>eyJoZGlkIjoiZmNiNDUwMjczYjRkMjE5NmQ3OGVlZjgxMmE2ZjhjZTMiLCJ1c2VySWQiOiI1MTkyMDA5NTUifQ==</vt:lpwstr>
  </property>
</Properties>
</file>