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jc w:val="center"/>
        <w:textAlignment w:val="auto"/>
        <w:rPr>
          <w:b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涞源县</w:t>
      </w:r>
      <w:r>
        <w:rPr>
          <w:b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卫生健康局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jc w:val="center"/>
        <w:textAlignment w:val="auto"/>
      </w:pPr>
      <w:r>
        <w:rPr>
          <w:rFonts w:hint="eastAsia"/>
          <w:b/>
          <w:bCs w:val="0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2023年政府信息公开年度报告</w:t>
      </w:r>
    </w:p>
    <w:p>
      <w:pPr>
        <w:pStyle w:val="4"/>
        <w:rPr>
          <w:b/>
          <w:bCs w:val="0"/>
          <w:sz w:val="32"/>
          <w:szCs w:val="32"/>
        </w:rPr>
      </w:pPr>
      <w:r>
        <w:rPr>
          <w:rFonts w:hint="eastAsia"/>
          <w:b/>
          <w:bCs w:val="0"/>
          <w:sz w:val="32"/>
          <w:szCs w:val="32"/>
        </w:rPr>
        <w:t>一、总体情况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涞源县卫生健康局在县委、县政府的正确领导下，在上级卫生健康部门指导下，坚持以习近平新时代中国特色社会主义思想为指导，全面贯彻落实党的二十大精神，扎实开展主题教育学习，始终坚持以广大人民群众生命安全、身体健康为总抓手，落实新冠病毒“乙类乙管”，着力聚焦深化医改，推动县域医共体建设，持续巩固健康扶贫同乡村振兴有效衔接，统筹推进京津冀协同发展，强力推进健康河北、美丽涞源建设，努力为群众提供全方位、全周期优质、高效医疗卫生服务，圆满完成各项工作任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Ansi="仿宋_GB2312" w:cs="仿宋_GB2312"/>
          <w:color w:val="000000" w:themeColor="text1"/>
          <w14:textFill>
            <w14:solidFill>
              <w14:schemeClr w14:val="tx1"/>
            </w14:solidFill>
          </w14:textFill>
        </w:rPr>
        <w:t>同时加大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推进政府信息公开、政策宣传解读、政务新媒体运维等工作，切实保障人民群众的知情权、参与权和监督权。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（一）主动公开：202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3</w:t>
      </w: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年主动公开政府信息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324</w:t>
      </w: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条，其中事前公开办事事项类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32</w:t>
      </w: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件，事后公开办事事项类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159</w:t>
      </w: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件，部门动态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102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件，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提案建议类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6</w:t>
      </w:r>
      <w:r>
        <w:rPr>
          <w:rFonts w:hint="eastAsia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件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，</w:t>
      </w: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部门预算2件,部门决算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23</w:t>
      </w: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（二）依申请公开：2022年未收到公民、法人或其他组织提出的政府信息公开申请。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（三）政府信息管理：加强信息监督，严格执行“谁公开、谁审查、谁负责”“一事一审”等保密审查规定，确保信息的准确性及安全性；完善政策制定与政策解读同步推进机制，基本做到政策文件公开的同时，政策解读同步发布。同时，积极回应群众关切问题，主动解答，讲清有关政策措施以及处理结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（四）政府信息公开平台建设：逐步形成以县政府网站公示公告栏目公开为主，新媒体和其他形式公开为辅的全方位、多渠道信息公开模式。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（五）监督保障：进一步理顺和完善工作机制，将政务公开工作纳入本机关整体绩效考评体系及年度工作重点，制定政务公开工作年度计划，形成主要负责人亲自抓，分管负责人直接参与、落实责任的工作模式。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报告中所列数据的统计期限自202</w:t>
      </w:r>
      <w:r>
        <w:rPr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3</w:t>
      </w: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年1月1日至202</w:t>
      </w:r>
      <w:r>
        <w:rPr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3</w:t>
      </w:r>
      <w:r>
        <w:rPr>
          <w:rFonts w:hint="eastAsia"/>
          <w:color w:val="000000" w:themeColor="text1"/>
          <w:shd w:val="clear" w:color="auto" w:fill="auto"/>
          <w14:textFill>
            <w14:solidFill>
              <w14:schemeClr w14:val="tx1"/>
            </w14:solidFill>
          </w14:textFill>
        </w:rPr>
        <w:t>年12月31日。</w:t>
      </w:r>
    </w:p>
    <w:p>
      <w:pPr>
        <w:pStyle w:val="4"/>
        <w:rPr>
          <w:rFonts w:hint="eastAsia"/>
        </w:rPr>
      </w:pPr>
      <w:r>
        <w:rPr>
          <w:rFonts w:hint="eastAsia"/>
          <w:b/>
          <w:bCs w:val="0"/>
          <w:sz w:val="32"/>
          <w:szCs w:val="40"/>
        </w:rPr>
        <w:t>二、主动公开政府信息情况</w:t>
      </w:r>
    </w:p>
    <w:tbl>
      <w:tblPr>
        <w:tblStyle w:val="5"/>
        <w:tblW w:w="9740" w:type="dxa"/>
        <w:jc w:val="cente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435"/>
        <w:gridCol w:w="2435"/>
        <w:gridCol w:w="2435"/>
        <w:gridCol w:w="2435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第二十条第（一）项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  <w:lang w:bidi="ar"/>
              </w:rPr>
              <w:t>本年</w:t>
            </w:r>
            <w:r>
              <w:rPr>
                <w:rFonts w:hint="eastAsia"/>
                <w:sz w:val="22"/>
                <w:szCs w:val="22"/>
                <w:lang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现行有效件数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　　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　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val="en-US" w:eastAsia="zh-CN" w:bidi="ar"/>
              </w:rPr>
              <w:t xml:space="preserve">    </w:t>
            </w:r>
            <w:r>
              <w:rPr>
                <w:sz w:val="22"/>
                <w:szCs w:val="22"/>
                <w:lang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　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sz w:val="22"/>
                <w:szCs w:val="22"/>
                <w:lang w:val="en-US" w:eastAsia="zh-CN"/>
              </w:rPr>
              <w:t>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第二十条第（五）项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本年处理决定数量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第二十条第（六）项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本年处理决定数量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　159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　0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第二十条第（八）项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本年收费金额（单位：万元）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0</w:t>
            </w:r>
          </w:p>
        </w:tc>
      </w:tr>
    </w:tbl>
    <w:p>
      <w:pPr>
        <w:pStyle w:val="4"/>
      </w:pPr>
      <w:r>
        <w:rPr>
          <w:rFonts w:hint="eastAsia"/>
          <w:b/>
          <w:bCs w:val="0"/>
          <w:sz w:val="32"/>
          <w:szCs w:val="40"/>
        </w:rPr>
        <w:t>三、收到和处理政府信息公开申请情况</w:t>
      </w:r>
    </w:p>
    <w:tbl>
      <w:tblPr>
        <w:tblStyle w:val="5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68"/>
        <w:gridCol w:w="945"/>
        <w:gridCol w:w="3217"/>
        <w:gridCol w:w="688"/>
        <w:gridCol w:w="688"/>
        <w:gridCol w:w="688"/>
        <w:gridCol w:w="688"/>
        <w:gridCol w:w="688"/>
        <w:gridCol w:w="689"/>
        <w:gridCol w:w="689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（本列数据的勾稽关系为：第一项加第二项之和，等于第三项加第四项之和）</w:t>
            </w:r>
          </w:p>
        </w:tc>
        <w:tc>
          <w:tcPr>
            <w:tcW w:w="4998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申请人情况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自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人</w:t>
            </w:r>
          </w:p>
        </w:tc>
        <w:tc>
          <w:tcPr>
            <w:tcW w:w="35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法人或其他组织</w:t>
            </w:r>
          </w:p>
        </w:tc>
        <w:tc>
          <w:tcPr>
            <w:tcW w:w="714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商业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企业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科研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社会公益组织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法律服务机构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</w:p>
        </w:tc>
        <w:tc>
          <w:tcPr>
            <w:tcW w:w="714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一、本年新收政府信息公开申请数量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二、上年结转政府信息公开申请数量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三、本年度办理结果</w:t>
            </w: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（一）予以公开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8" w:hRule="atLeast"/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（二）部分公开</w:t>
            </w: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（区分处理的，只计这一情形，不计其他情形）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default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（三）不予公开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1.属于国家秘密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2.其他法律行政法规禁止公开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3.危及“三安全一稳定”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4.保护第三方合法权益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5.属于三类内部事务信息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6.属于四类过程性信息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7.属于行政执法案卷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8.属于行政查询事项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（四）无法提供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1.本机关不掌握相关政府信息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2.没有现成信息需要另行制作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3.补正后申请内容仍不明确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（五）不予处理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1.信访举报投诉类申请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2.重复申请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3.要求提供公开出版物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4.无正当理由大量反复申请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default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9" w:hRule="atLeast"/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5.要求行政机关确认或重新出具已获取信息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default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（六）其他处理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1.申请人无正当理由逾期不补正、行政机关不再处理其政府信息公开申请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default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2.申请人逾期未按收费通知要求缴纳费用、行政机关不再处理其政府信息公开申请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59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3.其他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（七）总计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bidi="ar"/>
                <w14:textFill>
                  <w14:solidFill>
                    <w14:schemeClr w14:val="tx1"/>
                  </w14:solidFill>
                </w14:textFill>
              </w:rPr>
              <w:t>四、结转下年度继续办理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rPr>
                <w:rFonts w:hint="eastAsia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</w:tbl>
    <w:p>
      <w:pPr>
        <w:pStyle w:val="4"/>
      </w:pPr>
      <w:r>
        <w:rPr>
          <w:rFonts w:hint="eastAsia"/>
          <w:b/>
          <w:bCs w:val="0"/>
          <w:sz w:val="32"/>
          <w:szCs w:val="40"/>
        </w:rPr>
        <w:t>四、政府信息公开行政复议、行政诉讼情况</w:t>
      </w:r>
    </w:p>
    <w:tbl>
      <w:tblPr>
        <w:tblStyle w:val="5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7" w:hRule="atLeast"/>
          <w:jc w:val="center"/>
        </w:trPr>
        <w:tc>
          <w:tcPr>
            <w:tcW w:w="321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行政复议</w:t>
            </w:r>
          </w:p>
        </w:tc>
        <w:tc>
          <w:tcPr>
            <w:tcW w:w="6428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行政诉讼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结果维持</w:t>
            </w:r>
          </w:p>
        </w:tc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纠正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尚未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审结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  <w:tc>
          <w:tcPr>
            <w:tcW w:w="3213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未经复议直接起诉</w:t>
            </w:r>
          </w:p>
        </w:tc>
        <w:tc>
          <w:tcPr>
            <w:tcW w:w="321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复议后起诉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维持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尚未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维持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尚未</w:t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bidi="ar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2" w:hRule="atLeast"/>
          <w:jc w:val="center"/>
        </w:trPr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eastAsia="仿宋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</w:tbl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textAlignment w:val="auto"/>
        <w:rPr>
          <w:rFonts w:hint="eastAsia"/>
          <w:b/>
          <w:bCs w:val="0"/>
          <w:sz w:val="32"/>
          <w:szCs w:val="40"/>
          <w:lang w:val="en-US" w:eastAsia="zh-CN"/>
        </w:rPr>
      </w:pP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textAlignment w:val="auto"/>
      </w:pPr>
      <w:r>
        <w:rPr>
          <w:rFonts w:hint="eastAsia"/>
          <w:b/>
          <w:bCs w:val="0"/>
          <w:sz w:val="32"/>
          <w:szCs w:val="40"/>
          <w:lang w:val="en-US" w:eastAsia="zh-CN"/>
        </w:rPr>
        <w:t>五、</w:t>
      </w:r>
      <w:r>
        <w:rPr>
          <w:rFonts w:hint="eastAsia"/>
          <w:b/>
          <w:bCs w:val="0"/>
          <w:sz w:val="32"/>
          <w:szCs w:val="40"/>
        </w:rPr>
        <w:t>存在的主要问题及改进情况</w:t>
      </w:r>
    </w:p>
    <w:p>
      <w:pPr>
        <w:pStyle w:val="4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0" w:firstLineChars="200"/>
        <w:textAlignment w:val="auto"/>
      </w:pPr>
      <w:r>
        <w:rPr>
          <w:rFonts w:hint="eastAsia" w:ascii="仿宋" w:hAnsi="仿宋" w:eastAsia="仿宋" w:cs="仿宋"/>
          <w:sz w:val="32"/>
          <w:szCs w:val="32"/>
        </w:rPr>
        <w:t>主要问题是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缺乏</w:t>
      </w:r>
      <w:r>
        <w:rPr>
          <w:rFonts w:hint="eastAsia" w:ascii="仿宋" w:hAnsi="仿宋" w:eastAsia="仿宋" w:cs="仿宋"/>
          <w:sz w:val="32"/>
          <w:szCs w:val="32"/>
        </w:rPr>
        <w:t>专业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信息化</w:t>
      </w:r>
      <w:r>
        <w:rPr>
          <w:rFonts w:hint="eastAsia" w:ascii="仿宋" w:hAnsi="仿宋" w:eastAsia="仿宋" w:cs="仿宋"/>
          <w:sz w:val="32"/>
          <w:szCs w:val="32"/>
        </w:rPr>
        <w:t>人才，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办公室工作</w:t>
      </w:r>
      <w:r>
        <w:rPr>
          <w:rFonts w:hint="eastAsia" w:ascii="仿宋" w:hAnsi="仿宋" w:eastAsia="仿宋" w:cs="仿宋"/>
          <w:sz w:val="32"/>
          <w:szCs w:val="32"/>
        </w:rPr>
        <w:t>人员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兼职</w:t>
      </w:r>
      <w:r>
        <w:rPr>
          <w:rFonts w:hint="eastAsia" w:ascii="仿宋" w:hAnsi="仿宋" w:eastAsia="仿宋" w:cs="仿宋"/>
          <w:sz w:val="32"/>
          <w:szCs w:val="32"/>
        </w:rPr>
        <w:t>负责政务公开工作，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虽然</w:t>
      </w:r>
      <w:r>
        <w:rPr>
          <w:rFonts w:hint="eastAsia" w:ascii="仿宋" w:hAnsi="仿宋" w:eastAsia="仿宋" w:cs="仿宋"/>
          <w:sz w:val="32"/>
          <w:szCs w:val="32"/>
        </w:rPr>
        <w:t>经过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信息公开</w:t>
      </w:r>
      <w:r>
        <w:rPr>
          <w:rFonts w:hint="eastAsia" w:ascii="仿宋" w:hAnsi="仿宋" w:eastAsia="仿宋" w:cs="仿宋"/>
          <w:sz w:val="32"/>
          <w:szCs w:val="32"/>
        </w:rPr>
        <w:t>培训，日常工作中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出现信息公开内容</w:t>
      </w:r>
      <w:r>
        <w:rPr>
          <w:rFonts w:hint="eastAsia" w:ascii="仿宋" w:hAnsi="仿宋" w:eastAsia="仿宋" w:cs="仿宋"/>
          <w:sz w:val="32"/>
          <w:szCs w:val="32"/>
        </w:rPr>
        <w:t>不准确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错别字等现象</w:t>
      </w:r>
      <w:r>
        <w:rPr>
          <w:rFonts w:hint="eastAsia" w:ascii="仿宋" w:hAnsi="仿宋" w:eastAsia="仿宋" w:cs="仿宋"/>
          <w:sz w:val="32"/>
          <w:szCs w:val="32"/>
        </w:rPr>
        <w:t>。下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一</w:t>
      </w:r>
      <w:r>
        <w:rPr>
          <w:rFonts w:hint="eastAsia" w:ascii="仿宋" w:hAnsi="仿宋" w:eastAsia="仿宋" w:cs="仿宋"/>
          <w:sz w:val="32"/>
          <w:szCs w:val="32"/>
        </w:rPr>
        <w:t>步，我们将针对工作中的问题，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继续加大学习</w:t>
      </w:r>
      <w:r>
        <w:rPr>
          <w:rFonts w:hint="eastAsia" w:ascii="仿宋" w:hAnsi="仿宋" w:eastAsia="仿宋" w:cs="仿宋"/>
          <w:sz w:val="32"/>
          <w:szCs w:val="32"/>
        </w:rPr>
        <w:t>培训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力度</w:t>
      </w:r>
      <w:r>
        <w:rPr>
          <w:rFonts w:hint="eastAsia" w:ascii="仿宋" w:hAnsi="仿宋" w:eastAsia="仿宋" w:cs="仿宋"/>
          <w:sz w:val="32"/>
          <w:szCs w:val="32"/>
        </w:rPr>
        <w:t>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及时更正错误信息，确保信息公开的及时性、准确性</w:t>
      </w:r>
      <w:r>
        <w:rPr>
          <w:rFonts w:hint="eastAsia" w:ascii="仿宋" w:hAnsi="仿宋" w:eastAsia="仿宋" w:cs="仿宋"/>
          <w:sz w:val="32"/>
          <w:szCs w:val="32"/>
        </w:rPr>
        <w:t>。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textAlignment w:val="auto"/>
        <w:rPr>
          <w:b/>
          <w:bCs w:val="0"/>
          <w:sz w:val="32"/>
          <w:szCs w:val="40"/>
        </w:rPr>
      </w:pPr>
      <w:r>
        <w:rPr>
          <w:rFonts w:hint="eastAsia"/>
          <w:b/>
          <w:bCs w:val="0"/>
          <w:sz w:val="32"/>
          <w:szCs w:val="40"/>
        </w:rPr>
        <w:t>六、其他需要报告的事项</w:t>
      </w:r>
    </w:p>
    <w:p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40"/>
        </w:rPr>
      </w:pPr>
      <w:r>
        <w:rPr>
          <w:rFonts w:hint="eastAsia" w:ascii="仿宋" w:hAnsi="仿宋" w:eastAsia="仿宋" w:cs="仿宋"/>
          <w:sz w:val="32"/>
          <w:szCs w:val="40"/>
        </w:rPr>
        <w:t>认真贯彻执行国务院办公厅《政府信息公开信息处理费管理办法》和《关于政府信息公开处理费管理有关事项的通知》。2023年我局未收取信息处理费。</w:t>
      </w:r>
    </w:p>
    <w:p>
      <w:pPr>
        <w:pStyle w:val="4"/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embedSystemFonts/>
  <w:documentProtection w:enforcement="0"/>
  <w:defaultTabStop w:val="420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NiNDUwMjczYjRkMjE5NmQ3OGVlZjgxMmE2ZjhjZTMifQ=="/>
  </w:docVars>
  <w:rsids>
    <w:rsidRoot w:val="3E5B229F"/>
    <w:rsid w:val="003F474B"/>
    <w:rsid w:val="006000DD"/>
    <w:rsid w:val="00601565"/>
    <w:rsid w:val="00692E1B"/>
    <w:rsid w:val="00754D50"/>
    <w:rsid w:val="00976581"/>
    <w:rsid w:val="00BC7FF5"/>
    <w:rsid w:val="00DF58E6"/>
    <w:rsid w:val="00FF7963"/>
    <w:rsid w:val="302857C1"/>
    <w:rsid w:val="3DAF755A"/>
    <w:rsid w:val="3E5B229F"/>
    <w:rsid w:val="6D6B5CE1"/>
    <w:rsid w:val="72826491"/>
    <w:rsid w:val="749C3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spacing w:line="560" w:lineRule="exact"/>
      <w:jc w:val="center"/>
    </w:pPr>
    <w:rPr>
      <w:rFonts w:ascii="仿宋" w:hAnsi="仿宋" w:eastAsia="仿宋" w:cs="仿宋"/>
      <w:bCs/>
      <w:color w:val="333333"/>
      <w:kern w:val="2"/>
      <w:sz w:val="32"/>
      <w:szCs w:val="32"/>
      <w:shd w:val="clear" w:color="auto" w:fill="FFFFFF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color w:val="000000"/>
      <w:kern w:val="0"/>
      <w:sz w:val="24"/>
    </w:rPr>
  </w:style>
  <w:style w:type="character" w:customStyle="1" w:styleId="7">
    <w:name w:val="页眉 Char"/>
    <w:basedOn w:val="6"/>
    <w:link w:val="3"/>
    <w:autoRedefine/>
    <w:qFormat/>
    <w:uiPriority w:val="0"/>
    <w:rPr>
      <w:rFonts w:ascii="仿宋_GB2312" w:eastAsia="仿宋_GB2312"/>
      <w:kern w:val="2"/>
      <w:sz w:val="18"/>
      <w:szCs w:val="18"/>
    </w:rPr>
  </w:style>
  <w:style w:type="character" w:customStyle="1" w:styleId="8">
    <w:name w:val="页脚 Char"/>
    <w:basedOn w:val="6"/>
    <w:link w:val="2"/>
    <w:autoRedefine/>
    <w:qFormat/>
    <w:uiPriority w:val="0"/>
    <w:rPr>
      <w:rFonts w:ascii="仿宋_GB2312" w:eastAsia="仿宋_GB2312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6</Pages>
  <Words>323</Words>
  <Characters>1843</Characters>
  <Lines>15</Lines>
  <Paragraphs>4</Paragraphs>
  <TotalTime>26</TotalTime>
  <ScaleCrop>false</ScaleCrop>
  <LinksUpToDate>false</LinksUpToDate>
  <CharactersWithSpaces>2162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2019-12-29T11:38:00Z</dcterms:created>
  <dc:creator>小公举</dc:creator>
  <cp:lastModifiedBy>姬很烦。</cp:lastModifiedBy>
  <cp:lastPrinted>2019-12-29T11:40:00Z</cp:lastPrinted>
  <dcterms:modified xsi:type="dcterms:W3CDTF">2024-01-18T08:59:48Z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D155403E08764F6EA9DC9D7517716D4E_13</vt:lpwstr>
  </property>
</Properties>
</file>