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20" w:lineRule="exact"/>
        <w:ind w:firstLine="880" w:firstLineChars="200"/>
        <w:jc w:val="center"/>
        <w:textAlignment w:val="auto"/>
        <w:rPr>
          <w:rFonts w:hint="eastAsia" w:ascii="方正小标宋简体" w:hAnsi="方正小标宋简体" w:eastAsia="方正小标宋简体" w:cs="方正小标宋简体"/>
          <w:b w:val="0"/>
          <w:bCs w:val="0"/>
          <w:color w:val="auto"/>
          <w:kern w:val="2"/>
          <w:sz w:val="44"/>
          <w:szCs w:val="44"/>
          <w:shd w:val="clear" w:color="auto" w:fill="FFFFFF"/>
          <w:lang w:val="en-US" w:eastAsia="zh-CN" w:bidi="ar-SA"/>
        </w:rPr>
      </w:pPr>
      <w:r>
        <w:rPr>
          <w:rFonts w:hint="eastAsia" w:ascii="方正小标宋简体" w:hAnsi="方正小标宋简体" w:eastAsia="方正小标宋简体" w:cs="方正小标宋简体"/>
          <w:b w:val="0"/>
          <w:bCs w:val="0"/>
          <w:color w:val="auto"/>
          <w:kern w:val="2"/>
          <w:sz w:val="44"/>
          <w:szCs w:val="44"/>
          <w:shd w:val="clear" w:color="auto" w:fill="FFFFFF"/>
          <w:lang w:val="en-US" w:eastAsia="zh-CN" w:bidi="ar-SA"/>
        </w:rPr>
        <w:t>涞源县政府办公室2023</w:t>
      </w:r>
      <w:bookmarkStart w:id="0" w:name="_GoBack"/>
      <w:bookmarkEnd w:id="0"/>
      <w:r>
        <w:rPr>
          <w:rFonts w:hint="eastAsia" w:ascii="方正小标宋简体" w:hAnsi="方正小标宋简体" w:eastAsia="方正小标宋简体" w:cs="方正小标宋简体"/>
          <w:b w:val="0"/>
          <w:bCs w:val="0"/>
          <w:color w:val="auto"/>
          <w:kern w:val="2"/>
          <w:sz w:val="44"/>
          <w:szCs w:val="44"/>
          <w:shd w:val="clear" w:color="auto" w:fill="FFFFFF"/>
          <w:lang w:val="en-US" w:eastAsia="zh-CN" w:bidi="ar-SA"/>
        </w:rPr>
        <w:t>年度信息公开工作年度报告</w:t>
      </w:r>
    </w:p>
    <w:p>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20" w:lineRule="exact"/>
        <w:ind w:firstLine="640" w:firstLineChars="200"/>
        <w:jc w:val="both"/>
        <w:textAlignment w:val="auto"/>
        <w:rPr>
          <w:rFonts w:hint="eastAsia" w:ascii="仿宋_GB2312" w:eastAsia="仿宋_GB2312" w:cs="仿宋_GB2312"/>
          <w:i w:val="0"/>
          <w:iCs w:val="0"/>
          <w:caps w:val="0"/>
          <w:color w:val="auto"/>
          <w:spacing w:val="0"/>
          <w:sz w:val="32"/>
          <w:szCs w:val="32"/>
          <w:shd w:val="clear" w:fill="FFFFFF"/>
          <w:lang w:val="en-US" w:eastAsia="zh-CN"/>
        </w:rPr>
      </w:pPr>
    </w:p>
    <w:p>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20" w:lineRule="exact"/>
        <w:ind w:firstLine="640" w:firstLineChars="200"/>
        <w:jc w:val="both"/>
        <w:textAlignment w:val="auto"/>
        <w:rPr>
          <w:rFonts w:hint="eastAsia" w:ascii="仿宋_GB2312" w:eastAsia="仿宋_GB2312" w:cs="仿宋_GB2312"/>
          <w:i w:val="0"/>
          <w:iCs w:val="0"/>
          <w:caps w:val="0"/>
          <w:color w:val="auto"/>
          <w:spacing w:val="0"/>
          <w:sz w:val="32"/>
          <w:szCs w:val="32"/>
          <w:shd w:val="clear" w:fill="FFFFFF"/>
          <w:lang w:val="en-US" w:eastAsia="zh-CN"/>
        </w:rPr>
      </w:pPr>
      <w:r>
        <w:rPr>
          <w:rFonts w:hint="eastAsia" w:ascii="仿宋_GB2312" w:eastAsia="仿宋_GB2312" w:cs="仿宋_GB2312"/>
          <w:i w:val="0"/>
          <w:iCs w:val="0"/>
          <w:caps w:val="0"/>
          <w:color w:val="auto"/>
          <w:spacing w:val="0"/>
          <w:sz w:val="32"/>
          <w:szCs w:val="32"/>
          <w:shd w:val="clear" w:fill="FFFFFF"/>
          <w:lang w:val="en-US" w:eastAsia="zh-CN"/>
        </w:rPr>
        <w:t>2023年</w:t>
      </w:r>
      <w:r>
        <w:rPr>
          <w:rFonts w:hint="default" w:ascii="仿宋_GB2312" w:eastAsia="仿宋_GB2312" w:cs="仿宋_GB2312"/>
          <w:i w:val="0"/>
          <w:iCs w:val="0"/>
          <w:caps w:val="0"/>
          <w:color w:val="auto"/>
          <w:spacing w:val="0"/>
          <w:sz w:val="32"/>
          <w:szCs w:val="32"/>
          <w:shd w:val="clear" w:fill="FFFFFF"/>
          <w:lang w:val="en-US" w:eastAsia="zh-CN"/>
        </w:rPr>
        <w:t>，</w:t>
      </w:r>
      <w:r>
        <w:rPr>
          <w:rFonts w:hint="eastAsia" w:ascii="仿宋_GB2312" w:eastAsia="仿宋_GB2312" w:cs="仿宋_GB2312"/>
          <w:i w:val="0"/>
          <w:iCs w:val="0"/>
          <w:caps w:val="0"/>
          <w:color w:val="auto"/>
          <w:spacing w:val="0"/>
          <w:sz w:val="32"/>
          <w:szCs w:val="32"/>
          <w:shd w:val="clear" w:fill="FFFFFF"/>
          <w:lang w:val="en-US" w:eastAsia="zh-CN"/>
        </w:rPr>
        <w:t>涞源</w:t>
      </w:r>
      <w:r>
        <w:rPr>
          <w:rFonts w:hint="default" w:ascii="仿宋_GB2312" w:eastAsia="仿宋_GB2312" w:cs="仿宋_GB2312"/>
          <w:i w:val="0"/>
          <w:iCs w:val="0"/>
          <w:caps w:val="0"/>
          <w:color w:val="auto"/>
          <w:spacing w:val="0"/>
          <w:sz w:val="32"/>
          <w:szCs w:val="32"/>
          <w:shd w:val="clear" w:fill="FFFFFF"/>
          <w:lang w:val="en-US" w:eastAsia="zh-CN"/>
        </w:rPr>
        <w:t>县政府办公室在县委、县政府的坚强领导下，按照《中华人民共和国政府信息公开条例》规定，严格贯彻落实国家、省、市各项文件要求，全面推进政务公开各项工作，不断完善政务公开制度，持续加强政府门户网站</w:t>
      </w:r>
      <w:r>
        <w:rPr>
          <w:rFonts w:hint="eastAsia" w:ascii="仿宋_GB2312" w:eastAsia="仿宋_GB2312" w:cs="仿宋_GB2312"/>
          <w:i w:val="0"/>
          <w:iCs w:val="0"/>
          <w:caps w:val="0"/>
          <w:color w:val="auto"/>
          <w:spacing w:val="0"/>
          <w:sz w:val="32"/>
          <w:szCs w:val="32"/>
          <w:shd w:val="clear" w:fill="FFFFFF"/>
          <w:lang w:val="en-US" w:eastAsia="zh-CN"/>
        </w:rPr>
        <w:t>各项功能规范</w:t>
      </w:r>
      <w:r>
        <w:rPr>
          <w:rFonts w:hint="default" w:ascii="仿宋_GB2312" w:eastAsia="仿宋_GB2312" w:cs="仿宋_GB2312"/>
          <w:i w:val="0"/>
          <w:iCs w:val="0"/>
          <w:caps w:val="0"/>
          <w:color w:val="auto"/>
          <w:spacing w:val="0"/>
          <w:sz w:val="32"/>
          <w:szCs w:val="32"/>
          <w:shd w:val="clear" w:fill="FFFFFF"/>
          <w:lang w:val="en-US" w:eastAsia="zh-CN"/>
        </w:rPr>
        <w:t>，</w:t>
      </w:r>
      <w:r>
        <w:rPr>
          <w:rFonts w:hint="eastAsia" w:ascii="仿宋_GB2312" w:eastAsia="仿宋_GB2312" w:cs="仿宋_GB2312"/>
          <w:i w:val="0"/>
          <w:iCs w:val="0"/>
          <w:caps w:val="0"/>
          <w:color w:val="auto"/>
          <w:spacing w:val="0"/>
          <w:sz w:val="32"/>
          <w:szCs w:val="32"/>
          <w:shd w:val="clear" w:fill="FFFFFF"/>
          <w:lang w:val="en-US" w:eastAsia="zh-CN"/>
        </w:rPr>
        <w:t>加强发挥</w:t>
      </w:r>
      <w:r>
        <w:rPr>
          <w:rFonts w:hint="default" w:ascii="仿宋_GB2312" w:eastAsia="仿宋_GB2312" w:cs="仿宋_GB2312"/>
          <w:i w:val="0"/>
          <w:iCs w:val="0"/>
          <w:caps w:val="0"/>
          <w:color w:val="auto"/>
          <w:spacing w:val="0"/>
          <w:sz w:val="32"/>
          <w:szCs w:val="32"/>
          <w:shd w:val="clear" w:fill="FFFFFF"/>
          <w:lang w:val="en-US" w:eastAsia="zh-CN"/>
        </w:rPr>
        <w:t>政府微博、政府微信公众平台等新媒体</w:t>
      </w:r>
      <w:r>
        <w:rPr>
          <w:rFonts w:hint="eastAsia" w:ascii="仿宋_GB2312" w:eastAsia="仿宋_GB2312" w:cs="仿宋_GB2312"/>
          <w:i w:val="0"/>
          <w:iCs w:val="0"/>
          <w:caps w:val="0"/>
          <w:color w:val="auto"/>
          <w:spacing w:val="0"/>
          <w:sz w:val="32"/>
          <w:szCs w:val="32"/>
          <w:shd w:val="clear" w:fill="FFFFFF"/>
          <w:lang w:val="en-US" w:eastAsia="zh-CN"/>
        </w:rPr>
        <w:t>对于政府信息公开的作用</w:t>
      </w:r>
      <w:r>
        <w:rPr>
          <w:rFonts w:hint="default" w:ascii="仿宋_GB2312" w:eastAsia="仿宋_GB2312" w:cs="仿宋_GB2312"/>
          <w:i w:val="0"/>
          <w:iCs w:val="0"/>
          <w:caps w:val="0"/>
          <w:color w:val="auto"/>
          <w:spacing w:val="0"/>
          <w:sz w:val="32"/>
          <w:szCs w:val="32"/>
          <w:shd w:val="clear" w:fill="FFFFFF"/>
          <w:lang w:val="en-US" w:eastAsia="zh-CN"/>
        </w:rPr>
        <w:t>，着力提升信息公开质量</w:t>
      </w:r>
      <w:r>
        <w:rPr>
          <w:rFonts w:hint="eastAsia" w:ascii="仿宋_GB2312" w:eastAsia="仿宋_GB2312" w:cs="仿宋_GB2312"/>
          <w:i w:val="0"/>
          <w:iCs w:val="0"/>
          <w:caps w:val="0"/>
          <w:color w:val="auto"/>
          <w:spacing w:val="0"/>
          <w:sz w:val="32"/>
          <w:szCs w:val="32"/>
          <w:shd w:val="clear" w:fill="FFFFFF"/>
          <w:lang w:val="en-US" w:eastAsia="zh-CN"/>
        </w:rPr>
        <w:t>和数量</w:t>
      </w:r>
      <w:r>
        <w:rPr>
          <w:rFonts w:hint="default" w:ascii="仿宋_GB2312" w:eastAsia="仿宋_GB2312" w:cs="仿宋_GB2312"/>
          <w:i w:val="0"/>
          <w:iCs w:val="0"/>
          <w:caps w:val="0"/>
          <w:color w:val="auto"/>
          <w:spacing w:val="0"/>
          <w:sz w:val="32"/>
          <w:szCs w:val="32"/>
          <w:shd w:val="clear" w:fill="FFFFFF"/>
          <w:lang w:val="en-US" w:eastAsia="zh-CN"/>
        </w:rPr>
        <w:t>，</w:t>
      </w:r>
      <w:r>
        <w:rPr>
          <w:rFonts w:hint="default" w:ascii="仿宋_GB2312" w:hAnsi="仿宋_GB2312" w:eastAsia="仿宋_GB2312" w:cs="仿宋_GB2312"/>
          <w:sz w:val="32"/>
          <w:szCs w:val="32"/>
          <w:lang w:val="en-US" w:eastAsia="zh-CN"/>
        </w:rPr>
        <w:t>信息工作整体较往年有了进一步提升。</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textAlignment w:val="auto"/>
        <w:rPr>
          <w:rFonts w:hint="default" w:ascii="仿宋_GB2312" w:eastAsia="仿宋_GB2312" w:cs="仿宋_GB2312"/>
          <w:i w:val="0"/>
          <w:iCs w:val="0"/>
          <w:caps w:val="0"/>
          <w:color w:val="auto"/>
          <w:spacing w:val="0"/>
          <w:sz w:val="32"/>
          <w:szCs w:val="32"/>
          <w:shd w:val="clear" w:fill="FFFFFF"/>
          <w:lang w:val="en-US" w:eastAsia="zh-CN"/>
        </w:rPr>
      </w:pPr>
      <w:r>
        <w:rPr>
          <w:rFonts w:hint="eastAsia" w:ascii="仿宋_GB2312" w:eastAsia="仿宋_GB2312" w:cs="仿宋_GB2312"/>
          <w:i w:val="0"/>
          <w:iCs w:val="0"/>
          <w:caps w:val="0"/>
          <w:color w:val="auto"/>
          <w:spacing w:val="0"/>
          <w:sz w:val="32"/>
          <w:szCs w:val="32"/>
          <w:shd w:val="clear" w:fill="FFFFFF"/>
          <w:lang w:val="en-US" w:eastAsia="zh-CN"/>
        </w:rPr>
        <w:t>一、总体情况</w:t>
      </w:r>
    </w:p>
    <w:p>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20" w:lineRule="exact"/>
        <w:ind w:firstLine="640" w:firstLineChars="200"/>
        <w:jc w:val="both"/>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仿宋_GB2312" w:eastAsia="仿宋_GB2312" w:cs="仿宋_GB2312"/>
          <w:color w:val="000000"/>
          <w:spacing w:val="0"/>
          <w:w w:val="100"/>
          <w:position w:val="0"/>
          <w:sz w:val="32"/>
          <w:szCs w:val="32"/>
          <w:lang w:val="en-US" w:eastAsia="zh-CN"/>
        </w:rPr>
        <w:t>涞源县政府办公室严格贯彻落实国家、省、市2023年政务公开工作要求，持续推进重点领域信息公开的深度和广度，</w:t>
      </w:r>
      <w:r>
        <w:rPr>
          <w:rFonts w:hint="default" w:ascii="仿宋_GB2312" w:hAnsi="仿宋_GB2312" w:eastAsia="仿宋_GB2312" w:cs="仿宋_GB2312"/>
          <w:sz w:val="32"/>
          <w:szCs w:val="32"/>
          <w:lang w:val="en-US" w:eastAsia="zh-CN"/>
        </w:rPr>
        <w:t>政务信息报送机制</w:t>
      </w:r>
      <w:r>
        <w:rPr>
          <w:rFonts w:hint="eastAsia" w:ascii="仿宋_GB2312" w:hAnsi="仿宋_GB2312" w:eastAsia="仿宋_GB2312" w:cs="仿宋_GB2312"/>
          <w:sz w:val="32"/>
          <w:szCs w:val="32"/>
          <w:lang w:val="en-US" w:eastAsia="zh-CN"/>
        </w:rPr>
        <w:t>持续</w:t>
      </w:r>
      <w:r>
        <w:rPr>
          <w:rFonts w:hint="default" w:ascii="仿宋_GB2312" w:hAnsi="仿宋_GB2312" w:eastAsia="仿宋_GB2312" w:cs="仿宋_GB2312"/>
          <w:sz w:val="32"/>
          <w:szCs w:val="32"/>
          <w:lang w:val="en-US" w:eastAsia="zh-CN"/>
        </w:rPr>
        <w:t>优化。</w:t>
      </w:r>
      <w:r>
        <w:rPr>
          <w:rFonts w:hint="eastAsia" w:ascii="仿宋_GB2312" w:hAnsi="仿宋_GB2312" w:eastAsia="仿宋_GB2312" w:cs="仿宋_GB2312"/>
          <w:color w:val="000000"/>
          <w:spacing w:val="0"/>
          <w:w w:val="100"/>
          <w:position w:val="0"/>
          <w:sz w:val="32"/>
          <w:szCs w:val="32"/>
          <w:lang w:val="en-US" w:eastAsia="zh-CN"/>
        </w:rPr>
        <w:t>在政府门户网站、微信公众号及时开通国务院“互联网+督查”、河北惠企利民、小微权利监督平台等专栏，对学习宣传习近平总书记系列重要讲话及批示指示和党的二十大精神及时跟进发布。</w:t>
      </w:r>
      <w:r>
        <w:rPr>
          <w:rFonts w:hint="eastAsia" w:ascii="仿宋_GB2312" w:hAnsi="仿宋_GB2312" w:eastAsia="仿宋_GB2312" w:cs="仿宋_GB2312"/>
          <w:color w:val="000000"/>
          <w:spacing w:val="0"/>
          <w:w w:val="100"/>
          <w:position w:val="0"/>
          <w:sz w:val="32"/>
          <w:szCs w:val="32"/>
          <w:highlight w:val="none"/>
          <w:lang w:val="en-US" w:eastAsia="zh-CN"/>
        </w:rPr>
        <w:t>截至目前，</w:t>
      </w:r>
      <w:r>
        <w:rPr>
          <w:rFonts w:hint="eastAsia" w:ascii="仿宋_GB2312" w:hAnsi="仿宋_GB2312" w:eastAsia="仿宋_GB2312" w:cs="仿宋_GB2312"/>
          <w:color w:val="000000"/>
          <w:spacing w:val="0"/>
          <w:w w:val="100"/>
          <w:position w:val="0"/>
          <w:sz w:val="32"/>
          <w:szCs w:val="32"/>
          <w:lang w:val="en-US" w:eastAsia="zh-CN"/>
        </w:rPr>
        <w:t>向保定市政府网站主动提供县域信息</w:t>
      </w:r>
      <w:r>
        <w:rPr>
          <w:rFonts w:hint="eastAsia" w:ascii="仿宋_GB2312" w:hAnsi="仿宋_GB2312" w:eastAsia="仿宋_GB2312" w:cs="仿宋_GB2312"/>
          <w:color w:val="000000"/>
          <w:spacing w:val="0"/>
          <w:w w:val="100"/>
          <w:position w:val="0"/>
          <w:sz w:val="32"/>
          <w:szCs w:val="32"/>
          <w:highlight w:val="none"/>
          <w:lang w:val="en-US" w:eastAsia="zh-CN"/>
        </w:rPr>
        <w:t>224篇</w:t>
      </w:r>
      <w:r>
        <w:rPr>
          <w:rFonts w:hint="eastAsia" w:ascii="楷体_GB2312" w:hAnsi="楷体_GB2312" w:eastAsia="楷体_GB2312" w:cs="楷体_GB2312"/>
          <w:sz w:val="28"/>
          <w:szCs w:val="28"/>
          <w:lang w:val="en-US" w:eastAsia="zh-CN"/>
        </w:rPr>
        <w:t>（短篇要情类117篇，长篇调研类46篇，国办约稿类61篇）</w:t>
      </w:r>
      <w:r>
        <w:rPr>
          <w:rFonts w:hint="eastAsia" w:ascii="仿宋_GB2312" w:hAnsi="仿宋_GB2312" w:eastAsia="仿宋_GB2312" w:cs="仿宋_GB2312"/>
          <w:color w:val="000000"/>
          <w:spacing w:val="0"/>
          <w:w w:val="100"/>
          <w:position w:val="0"/>
          <w:sz w:val="32"/>
          <w:szCs w:val="32"/>
          <w:highlight w:val="none"/>
          <w:lang w:val="en-US" w:eastAsia="zh-CN"/>
        </w:rPr>
        <w:t>，被市《政务信息》采用42篇，组织各乡镇、各部门在涞源政府信息公开平台主动公开政府信息1900余条，在县政府门户网站公开各类政府信息500余条，利用涞源政府微博、涞源微讯推送各类信息600余条，图片300余幅，</w:t>
      </w:r>
      <w:r>
        <w:rPr>
          <w:rFonts w:hint="default" w:ascii="仿宋_GB2312" w:hAnsi="仿宋_GB2312" w:eastAsia="仿宋_GB2312" w:cs="仿宋_GB2312"/>
          <w:sz w:val="32"/>
          <w:szCs w:val="32"/>
          <w:lang w:val="en-US" w:eastAsia="zh-CN"/>
        </w:rPr>
        <w:t>信息</w:t>
      </w:r>
      <w:r>
        <w:rPr>
          <w:rFonts w:hint="eastAsia" w:ascii="仿宋_GB2312" w:hAnsi="仿宋_GB2312" w:eastAsia="仿宋_GB2312" w:cs="仿宋_GB2312"/>
          <w:sz w:val="32"/>
          <w:szCs w:val="32"/>
          <w:lang w:val="en-US" w:eastAsia="zh-CN"/>
        </w:rPr>
        <w:t>公开</w:t>
      </w:r>
      <w:r>
        <w:rPr>
          <w:rFonts w:hint="default" w:ascii="仿宋_GB2312" w:hAnsi="仿宋_GB2312" w:eastAsia="仿宋_GB2312" w:cs="仿宋_GB2312"/>
          <w:sz w:val="32"/>
          <w:szCs w:val="32"/>
          <w:lang w:val="en-US" w:eastAsia="zh-CN"/>
        </w:rPr>
        <w:t>工作</w:t>
      </w:r>
      <w:r>
        <w:rPr>
          <w:rFonts w:hint="eastAsia" w:ascii="仿宋_GB2312" w:hAnsi="仿宋_GB2312" w:eastAsia="仿宋_GB2312" w:cs="仿宋_GB2312"/>
          <w:sz w:val="32"/>
          <w:szCs w:val="32"/>
          <w:lang w:val="en-US" w:eastAsia="zh-CN"/>
        </w:rPr>
        <w:t>取得一定成效</w:t>
      </w:r>
      <w:r>
        <w:rPr>
          <w:rFonts w:hint="default" w:ascii="仿宋_GB2312" w:hAnsi="仿宋_GB2312" w:eastAsia="仿宋_GB2312" w:cs="仿宋_GB2312"/>
          <w:sz w:val="32"/>
          <w:szCs w:val="32"/>
          <w:lang w:val="en-US" w:eastAsia="zh-CN"/>
        </w:rPr>
        <w:t>。</w:t>
      </w:r>
    </w:p>
    <w:p>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3" w:firstLineChars="200"/>
        <w:jc w:val="both"/>
        <w:textAlignment w:val="auto"/>
        <w:rPr>
          <w:rFonts w:hint="eastAsia" w:ascii="黑体" w:hAnsi="黑体" w:eastAsia="黑体" w:cs="黑体"/>
          <w:b/>
          <w:color w:val="333333"/>
          <w:sz w:val="32"/>
          <w:szCs w:val="32"/>
          <w:shd w:val="clear" w:color="auto" w:fill="FFFFFF"/>
        </w:rPr>
      </w:pPr>
      <w:r>
        <w:rPr>
          <w:rFonts w:hint="eastAsia" w:ascii="黑体" w:hAnsi="黑体" w:eastAsia="黑体" w:cs="黑体"/>
          <w:b/>
          <w:color w:val="333333"/>
          <w:sz w:val="32"/>
          <w:szCs w:val="32"/>
          <w:shd w:val="clear" w:color="auto" w:fill="FFFFFF"/>
          <w:lang w:val="en-US" w:eastAsia="zh-CN"/>
        </w:rPr>
        <w:t>二、</w:t>
      </w:r>
      <w:r>
        <w:rPr>
          <w:rFonts w:hint="eastAsia" w:ascii="黑体" w:hAnsi="黑体" w:eastAsia="黑体" w:cs="黑体"/>
          <w:b/>
          <w:color w:val="333333"/>
          <w:sz w:val="32"/>
          <w:szCs w:val="32"/>
          <w:shd w:val="clear" w:color="auto" w:fill="FFFFFF"/>
        </w:rPr>
        <w:t>主动公开政府信息情况</w:t>
      </w:r>
    </w:p>
    <w:tbl>
      <w:tblPr>
        <w:tblStyle w:val="3"/>
        <w:tblW w:w="93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2435"/>
        <w:gridCol w:w="2435"/>
        <w:gridCol w:w="2435"/>
        <w:gridCol w:w="20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9333" w:type="dxa"/>
            <w:gridSpan w:val="4"/>
            <w:tcBorders>
              <w:top w:val="single" w:color="auto" w:sz="8" w:space="0"/>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第二十条第（一）项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信息内容</w:t>
            </w:r>
          </w:p>
        </w:tc>
        <w:tc>
          <w:tcPr>
            <w:tcW w:w="2435"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本年制发件数</w:t>
            </w:r>
          </w:p>
        </w:tc>
        <w:tc>
          <w:tcPr>
            <w:tcW w:w="2435"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本年废止件数</w:t>
            </w:r>
          </w:p>
        </w:tc>
        <w:tc>
          <w:tcPr>
            <w:tcW w:w="2028"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现行有效件数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规章</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宋体" w:hAnsi="宋体" w:eastAsia="宋体" w:cs="宋体"/>
                <w:caps w:val="0"/>
                <w:spacing w:val="0"/>
                <w:kern w:val="0"/>
                <w:sz w:val="32"/>
                <w:szCs w:val="32"/>
                <w:lang w:val="en-US" w:eastAsia="zh-CN" w:bidi="ar"/>
              </w:rPr>
              <w:t>0</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0</w:t>
            </w:r>
          </w:p>
        </w:tc>
        <w:tc>
          <w:tcPr>
            <w:tcW w:w="202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eastAsia="仿宋_GB2312"/>
                <w:lang w:val="en-US" w:eastAsia="zh-CN"/>
              </w:rPr>
            </w:pPr>
            <w:r>
              <w:rPr>
                <w:rFonts w:hint="eastAsia" w:ascii="宋体" w:hAnsi="宋体" w:eastAsia="宋体" w:cs="宋体"/>
                <w:caps w:val="0"/>
                <w:spacing w:val="0"/>
                <w:kern w:val="0"/>
                <w:sz w:val="32"/>
                <w:szCs w:val="32"/>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行政规范性文件</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eastAsia="仿宋_GB2312"/>
                <w:lang w:val="en-US" w:eastAsia="zh-CN"/>
              </w:rPr>
            </w:pPr>
            <w:r>
              <w:rPr>
                <w:rFonts w:hint="eastAsia" w:ascii="宋体" w:hAnsi="宋体" w:eastAsia="宋体" w:cs="宋体"/>
                <w:caps w:val="0"/>
                <w:spacing w:val="0"/>
                <w:kern w:val="0"/>
                <w:sz w:val="32"/>
                <w:szCs w:val="32"/>
                <w:lang w:val="en-US" w:eastAsia="zh-CN" w:bidi="ar"/>
              </w:rPr>
              <w:t>2</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0</w:t>
            </w:r>
          </w:p>
        </w:tc>
        <w:tc>
          <w:tcPr>
            <w:tcW w:w="202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宋体" w:hAnsi="宋体" w:eastAsia="宋体" w:cs="宋体"/>
                <w:caps w:val="0"/>
                <w:spacing w:val="0"/>
                <w:kern w:val="0"/>
                <w:sz w:val="32"/>
                <w:szCs w:val="32"/>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第二十条第（五）项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信息内容</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行政许可</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宋体" w:hAnsi="宋体" w:eastAsia="宋体" w:cs="宋体"/>
                <w:caps w:val="0"/>
                <w:spacing w:val="0"/>
                <w:kern w:val="0"/>
                <w:sz w:val="32"/>
                <w:szCs w:val="32"/>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第二十条第（六）项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0"/>
              <w:jc w:val="center"/>
            </w:pPr>
            <w:r>
              <w:rPr>
                <w:rFonts w:hint="eastAsia" w:ascii="宋体" w:hAnsi="宋体" w:eastAsia="宋体" w:cs="宋体"/>
                <w:caps w:val="0"/>
                <w:spacing w:val="0"/>
                <w:kern w:val="0"/>
                <w:sz w:val="32"/>
                <w:szCs w:val="32"/>
                <w:lang w:val="en-US" w:eastAsia="zh-CN" w:bidi="ar"/>
              </w:rPr>
              <w:t>信息内容</w:t>
            </w:r>
          </w:p>
        </w:tc>
        <w:tc>
          <w:tcPr>
            <w:tcW w:w="6898" w:type="dxa"/>
            <w:gridSpan w:val="3"/>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0"/>
              <w:jc w:val="center"/>
            </w:pPr>
            <w:r>
              <w:rPr>
                <w:rFonts w:hint="eastAsia" w:ascii="宋体" w:hAnsi="宋体" w:eastAsia="宋体" w:cs="宋体"/>
                <w:caps w:val="0"/>
                <w:spacing w:val="0"/>
                <w:kern w:val="0"/>
                <w:sz w:val="32"/>
                <w:szCs w:val="32"/>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行政处罚</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宋体" w:hAnsi="宋体" w:eastAsia="宋体" w:cs="宋体"/>
                <w:caps w:val="0"/>
                <w:spacing w:val="0"/>
                <w:kern w:val="0"/>
                <w:sz w:val="32"/>
                <w:szCs w:val="32"/>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行政强制</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宋体" w:hAnsi="宋体" w:eastAsia="宋体" w:cs="宋体"/>
                <w:caps w:val="0"/>
                <w:spacing w:val="0"/>
                <w:kern w:val="0"/>
                <w:sz w:val="32"/>
                <w:szCs w:val="32"/>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第二十条第（八）项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信息内容</w:t>
            </w:r>
          </w:p>
        </w:tc>
        <w:tc>
          <w:tcPr>
            <w:tcW w:w="6898" w:type="dxa"/>
            <w:gridSpan w:val="3"/>
            <w:tcBorders>
              <w:top w:val="nil"/>
              <w:left w:val="nil"/>
              <w:bottom w:val="single" w:color="auto" w:sz="8" w:space="0"/>
              <w:right w:val="single" w:color="000000"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本年收费金额（单位：万元）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行政事业性收费</w:t>
            </w:r>
          </w:p>
        </w:tc>
        <w:tc>
          <w:tcPr>
            <w:tcW w:w="6898" w:type="dxa"/>
            <w:gridSpan w:val="3"/>
            <w:tcBorders>
              <w:top w:val="nil"/>
              <w:left w:val="nil"/>
              <w:bottom w:val="single" w:color="auto" w:sz="8" w:space="0"/>
              <w:right w:val="single" w:color="000000"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宋体" w:hAnsi="宋体" w:eastAsia="宋体" w:cs="宋体"/>
                <w:caps w:val="0"/>
                <w:spacing w:val="0"/>
                <w:kern w:val="0"/>
                <w:sz w:val="32"/>
                <w:szCs w:val="32"/>
                <w:lang w:val="en-US" w:eastAsia="zh-CN" w:bidi="ar"/>
              </w:rPr>
              <w:t>0</w:t>
            </w:r>
          </w:p>
        </w:tc>
      </w:tr>
    </w:tbl>
    <w:p>
      <w:pPr>
        <w:pStyle w:val="2"/>
        <w:shd w:val="clear" w:color="auto"/>
        <w:spacing w:before="0" w:beforeAutospacing="0" w:after="0" w:afterAutospacing="0"/>
        <w:ind w:firstLine="420"/>
        <w:jc w:val="both"/>
        <w:rPr>
          <w:rFonts w:hint="eastAsia"/>
          <w:color w:val="333333"/>
        </w:rPr>
      </w:pPr>
    </w:p>
    <w:p>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3" w:firstLineChars="200"/>
        <w:jc w:val="both"/>
        <w:textAlignment w:val="auto"/>
        <w:rPr>
          <w:rFonts w:hint="eastAsia" w:ascii="黑体" w:hAnsi="黑体" w:eastAsia="黑体" w:cs="黑体"/>
          <w:b/>
          <w:color w:val="333333"/>
          <w:sz w:val="32"/>
          <w:szCs w:val="32"/>
          <w:shd w:val="clear" w:color="auto" w:fill="FFFFFF"/>
        </w:rPr>
      </w:pPr>
      <w:r>
        <w:rPr>
          <w:rFonts w:hint="eastAsia" w:ascii="黑体" w:hAnsi="黑体" w:eastAsia="黑体" w:cs="黑体"/>
          <w:b/>
          <w:color w:val="333333"/>
          <w:sz w:val="32"/>
          <w:szCs w:val="32"/>
          <w:shd w:val="clear" w:color="auto" w:fill="FFFFFF"/>
        </w:rPr>
        <w:t>三、收到和处理政府信息公开申请情况</w:t>
      </w:r>
    </w:p>
    <w:tbl>
      <w:tblPr>
        <w:tblStyle w:val="3"/>
        <w:tblW w:w="907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618"/>
        <w:gridCol w:w="854"/>
        <w:gridCol w:w="2086"/>
        <w:gridCol w:w="814"/>
        <w:gridCol w:w="755"/>
        <w:gridCol w:w="755"/>
        <w:gridCol w:w="814"/>
        <w:gridCol w:w="974"/>
        <w:gridCol w:w="712"/>
        <w:gridCol w:w="689"/>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（本列数据的勾稽关系为：第一项加第二项之和，等于第三项加第四项之和）</w:t>
            </w:r>
          </w:p>
        </w:tc>
        <w:tc>
          <w:tcPr>
            <w:tcW w:w="5513" w:type="dxa"/>
            <w:gridSpan w:val="7"/>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申请人情况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continue"/>
            <w:tcBorders>
              <w:tl2br w:val="nil"/>
              <w:tr2bl w:val="nil"/>
            </w:tcBorders>
            <w:noWrap w:val="0"/>
            <w:tcMar>
              <w:left w:w="108" w:type="dxa"/>
              <w:right w:w="108" w:type="dxa"/>
            </w:tcMar>
            <w:vAlign w:val="center"/>
          </w:tcPr>
          <w:p>
            <w:pPr>
              <w:rPr>
                <w:rFonts w:hint="eastAsia" w:ascii="宋体"/>
                <w:sz w:val="24"/>
              </w:rPr>
            </w:pPr>
          </w:p>
        </w:tc>
        <w:tc>
          <w:tcPr>
            <w:tcW w:w="814"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自然人</w:t>
            </w:r>
          </w:p>
        </w:tc>
        <w:tc>
          <w:tcPr>
            <w:tcW w:w="4010" w:type="dxa"/>
            <w:gridSpan w:val="5"/>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法人或其他组织</w:t>
            </w:r>
          </w:p>
        </w:tc>
        <w:tc>
          <w:tcPr>
            <w:tcW w:w="689"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总计</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continue"/>
            <w:tcBorders>
              <w:tl2br w:val="nil"/>
              <w:tr2bl w:val="nil"/>
            </w:tcBorders>
            <w:noWrap w:val="0"/>
            <w:tcMar>
              <w:left w:w="108" w:type="dxa"/>
              <w:right w:w="108" w:type="dxa"/>
            </w:tcMar>
            <w:vAlign w:val="center"/>
          </w:tcPr>
          <w:p>
            <w:pPr>
              <w:rPr>
                <w:rFonts w:hint="eastAsia" w:ascii="宋体"/>
                <w:sz w:val="24"/>
              </w:rPr>
            </w:pPr>
          </w:p>
        </w:tc>
        <w:tc>
          <w:tcPr>
            <w:tcW w:w="814" w:type="dxa"/>
            <w:vMerge w:val="continue"/>
            <w:tcBorders>
              <w:tl2br w:val="nil"/>
              <w:tr2bl w:val="nil"/>
            </w:tcBorders>
            <w:noWrap w:val="0"/>
            <w:tcMar>
              <w:left w:w="108" w:type="dxa"/>
              <w:right w:w="108" w:type="dxa"/>
            </w:tcMar>
            <w:vAlign w:val="center"/>
          </w:tcPr>
          <w:p>
            <w:pPr>
              <w:rPr>
                <w:rFonts w:hint="eastAsia" w:ascii="宋体"/>
                <w:sz w:val="24"/>
              </w:rPr>
            </w:pP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商业企业</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科研机构</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社会公益组织</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法律服务机构</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w:t>
            </w:r>
          </w:p>
        </w:tc>
        <w:tc>
          <w:tcPr>
            <w:tcW w:w="689" w:type="dxa"/>
            <w:vMerge w:val="continue"/>
            <w:tcBorders>
              <w:tl2br w:val="nil"/>
              <w:tr2bl w:val="nil"/>
            </w:tcBorders>
            <w:noWrap w:val="0"/>
            <w:tcMar>
              <w:left w:w="108" w:type="dxa"/>
              <w:right w:w="108" w:type="dxa"/>
            </w:tcMar>
            <w:vAlign w:val="center"/>
          </w:tcPr>
          <w:p>
            <w:pPr>
              <w:rPr>
                <w:rFonts w:hint="eastAsia" w:ascii="宋体"/>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一、本年新收政府信息公开申请数量</w:t>
            </w:r>
          </w:p>
        </w:tc>
        <w:tc>
          <w:tcPr>
            <w:tcW w:w="814" w:type="dxa"/>
            <w:tcBorders>
              <w:tl2br w:val="nil"/>
              <w:tr2bl w:val="nil"/>
            </w:tcBorders>
            <w:noWrap w:val="0"/>
            <w:tcMar>
              <w:left w:w="108" w:type="dxa"/>
              <w:right w:w="108" w:type="dxa"/>
            </w:tcMar>
            <w:vAlign w:val="center"/>
          </w:tcPr>
          <w:p>
            <w:pPr>
              <w:widowControl/>
              <w:spacing w:after="180"/>
              <w:jc w:val="center"/>
              <w:rPr>
                <w:rFonts w:hint="default" w:eastAsia="仿宋_GB2312"/>
                <w:lang w:val="en-US" w:eastAsia="zh-CN"/>
              </w:rPr>
            </w:pPr>
            <w:r>
              <w:rPr>
                <w:rFonts w:hint="eastAsia" w:ascii="Calibri" w:eastAsia="宋体" w:cs="Calibri"/>
                <w:kern w:val="0"/>
                <w:sz w:val="20"/>
                <w:szCs w:val="20"/>
                <w:lang w:val="en-US" w:eastAsia="zh-CN"/>
              </w:rPr>
              <w:t>4</w:t>
            </w:r>
          </w:p>
        </w:tc>
        <w:tc>
          <w:tcPr>
            <w:tcW w:w="755" w:type="dxa"/>
            <w:tcBorders>
              <w:tl2br w:val="nil"/>
              <w:tr2bl w:val="nil"/>
            </w:tcBorders>
            <w:noWrap w:val="0"/>
            <w:tcMar>
              <w:left w:w="108" w:type="dxa"/>
              <w:right w:w="108" w:type="dxa"/>
            </w:tcMar>
            <w:vAlign w:val="center"/>
          </w:tcPr>
          <w:p>
            <w:pPr>
              <w:widowControl/>
              <w:spacing w:after="180"/>
              <w:jc w:val="center"/>
              <w:rPr>
                <w:rFonts w:hint="eastAsia" w:eastAsia="仿宋_GB2312"/>
                <w:lang w:eastAsia="zh-CN"/>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eastAsia="仿宋_GB2312"/>
                <w:lang w:eastAsia="zh-CN"/>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hint="default" w:eastAsia="仿宋_GB2312"/>
                <w:lang w:val="en-US" w:eastAsia="zh-CN"/>
              </w:rPr>
            </w:pPr>
            <w:r>
              <w:rPr>
                <w:rFonts w:hint="eastAsia" w:ascii="Calibri" w:eastAsia="宋体" w:cs="Calibri"/>
                <w:kern w:val="0"/>
                <w:sz w:val="20"/>
                <w:szCs w:val="20"/>
                <w:lang w:val="en-US" w:eastAsia="zh-CN"/>
              </w:rPr>
              <w:t>4</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二、上年结转政府信息公开申请数量</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三、本年度办理结果</w:t>
            </w: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（一）予以公开</w:t>
            </w:r>
          </w:p>
        </w:tc>
        <w:tc>
          <w:tcPr>
            <w:tcW w:w="814" w:type="dxa"/>
            <w:tcBorders>
              <w:tl2br w:val="nil"/>
              <w:tr2bl w:val="nil"/>
            </w:tcBorders>
            <w:noWrap w:val="0"/>
            <w:tcMar>
              <w:left w:w="108" w:type="dxa"/>
              <w:right w:w="108" w:type="dxa"/>
            </w:tcMar>
            <w:vAlign w:val="center"/>
          </w:tcPr>
          <w:p>
            <w:pPr>
              <w:widowControl/>
              <w:spacing w:after="180"/>
              <w:jc w:val="center"/>
              <w:rPr>
                <w:rFonts w:hint="default" w:eastAsia="仿宋_GB2312"/>
                <w:lang w:val="en-US" w:eastAsia="zh-CN"/>
              </w:rPr>
            </w:pPr>
            <w:r>
              <w:rPr>
                <w:rFonts w:hint="eastAsia" w:ascii="Calibri" w:eastAsia="宋体" w:cs="Calibri"/>
                <w:kern w:val="0"/>
                <w:sz w:val="20"/>
                <w:szCs w:val="20"/>
                <w:lang w:val="en-US" w:eastAsia="zh-CN"/>
              </w:rPr>
              <w:t>4</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hint="default"/>
                <w:lang w:val="en-US"/>
              </w:rPr>
            </w:pPr>
            <w:r>
              <w:rPr>
                <w:rFonts w:hint="eastAsia" w:ascii="Calibri" w:eastAsia="宋体" w:cs="Calibri"/>
                <w:kern w:val="0"/>
                <w:sz w:val="20"/>
                <w:szCs w:val="20"/>
                <w:lang w:val="en-US" w:eastAsia="zh-CN"/>
              </w:rPr>
              <w:t>4</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（二）部分公开（区分处理的，只计这一情形，不计其他情形）</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（三）不予公开</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1.属于国家秘密</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2.其他法律行政法规禁止公开</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3.危及“三安全一稳定”</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4.保护第三方合法权益</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5.属于三类内部事务信息</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6.属于四类过程性信息</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7.属于行政执法案卷</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8.属于行政查询事项</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（四）无法提供</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1.本机关不掌握相关政府信息</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2.没有现成信息需要另行制作</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3.补正后申请内容仍不明确</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（五）不予处理</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1.信访举报投诉类申请</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2.重复申请</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3.要求提供公开出版物</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4.无正当理由大量反复申请</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5.要求行政机关确认或重新出具已获取信息</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（六）其他处理</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（七）总计</w:t>
            </w:r>
          </w:p>
        </w:tc>
        <w:tc>
          <w:tcPr>
            <w:tcW w:w="814" w:type="dxa"/>
            <w:tcBorders>
              <w:tl2br w:val="nil"/>
              <w:tr2bl w:val="nil"/>
            </w:tcBorders>
            <w:noWrap w:val="0"/>
            <w:tcMar>
              <w:left w:w="108" w:type="dxa"/>
              <w:right w:w="108" w:type="dxa"/>
            </w:tcMar>
            <w:vAlign w:val="center"/>
          </w:tcPr>
          <w:p>
            <w:pPr>
              <w:widowControl/>
              <w:spacing w:after="180"/>
              <w:jc w:val="center"/>
              <w:rPr>
                <w:rFonts w:hint="default"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4</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hint="default"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4</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四、结转下年度继续办理</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bl>
    <w:p>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3" w:firstLineChars="200"/>
        <w:jc w:val="both"/>
        <w:textAlignment w:val="auto"/>
        <w:rPr>
          <w:rFonts w:hint="eastAsia" w:ascii="黑体" w:hAnsi="黑体" w:eastAsia="黑体" w:cs="黑体"/>
          <w:b/>
          <w:color w:val="333333"/>
          <w:sz w:val="32"/>
          <w:szCs w:val="32"/>
          <w:shd w:val="clear" w:color="auto" w:fill="FFFFFF"/>
        </w:rPr>
      </w:pPr>
      <w:r>
        <w:rPr>
          <w:rFonts w:hint="eastAsia" w:ascii="黑体" w:hAnsi="黑体" w:eastAsia="黑体" w:cs="黑体"/>
          <w:b/>
          <w:color w:val="333333"/>
          <w:sz w:val="32"/>
          <w:szCs w:val="32"/>
          <w:shd w:val="clear" w:color="auto" w:fill="FFFFFF"/>
        </w:rPr>
        <w:t>四、政府信息公开行政复议、行政诉讼情况</w:t>
      </w:r>
    </w:p>
    <w:p>
      <w:pPr>
        <w:pStyle w:val="2"/>
        <w:shd w:val="clear" w:color="auto"/>
        <w:spacing w:before="0" w:beforeAutospacing="0" w:after="0" w:afterAutospacing="0"/>
        <w:ind w:firstLine="420"/>
        <w:jc w:val="both"/>
        <w:rPr>
          <w:rFonts w:hint="eastAsia"/>
          <w:color w:val="333333"/>
        </w:rPr>
      </w:pPr>
    </w:p>
    <w:tbl>
      <w:tblPr>
        <w:tblStyle w:val="3"/>
        <w:tblW w:w="9071"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
      <w:tblGrid>
        <w:gridCol w:w="604"/>
        <w:gridCol w:w="604"/>
        <w:gridCol w:w="604"/>
        <w:gridCol w:w="604"/>
        <w:gridCol w:w="658"/>
        <w:gridCol w:w="550"/>
        <w:gridCol w:w="605"/>
        <w:gridCol w:w="605"/>
        <w:gridCol w:w="605"/>
        <w:gridCol w:w="605"/>
        <w:gridCol w:w="605"/>
        <w:gridCol w:w="605"/>
        <w:gridCol w:w="605"/>
        <w:gridCol w:w="606"/>
        <w:gridCol w:w="606"/>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74" w:type="dxa"/>
            <w:gridSpan w:val="5"/>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行政复议</w:t>
            </w:r>
          </w:p>
        </w:tc>
        <w:tc>
          <w:tcPr>
            <w:tcW w:w="5997" w:type="dxa"/>
            <w:gridSpan w:val="10"/>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行政诉讼</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04" w:type="dxa"/>
            <w:vMerge w:val="restart"/>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4" w:type="dxa"/>
            <w:vMerge w:val="restart"/>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4"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其他结果</w:t>
            </w:r>
          </w:p>
        </w:tc>
        <w:tc>
          <w:tcPr>
            <w:tcW w:w="604"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58"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总计</w:t>
            </w:r>
          </w:p>
        </w:tc>
        <w:tc>
          <w:tcPr>
            <w:tcW w:w="2970" w:type="dxa"/>
            <w:gridSpan w:val="5"/>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未经复议直接起诉</w:t>
            </w:r>
          </w:p>
        </w:tc>
        <w:tc>
          <w:tcPr>
            <w:tcW w:w="3027" w:type="dxa"/>
            <w:gridSpan w:val="5"/>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复议后起诉</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04" w:type="dxa"/>
            <w:vMerge w:val="continue"/>
            <w:tcBorders>
              <w:top w:val="nil"/>
              <w:left w:val="single" w:color="auto" w:sz="8" w:space="0"/>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nil"/>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58"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550"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其他结果</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总计</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其他结果</w:t>
            </w:r>
          </w:p>
        </w:tc>
        <w:tc>
          <w:tcPr>
            <w:tcW w:w="606"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06"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04"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58"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550"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6"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6" w:type="dxa"/>
            <w:tcBorders>
              <w:top w:val="nil"/>
              <w:left w:val="nil"/>
              <w:bottom w:val="single" w:color="auto" w:sz="8" w:space="0"/>
              <w:right w:val="single" w:color="auto" w:sz="8" w:space="0"/>
            </w:tcBorders>
            <w:noWrap w:val="0"/>
            <w:tcMar>
              <w:left w:w="108" w:type="dxa"/>
              <w:right w:w="108" w:type="dxa"/>
            </w:tcMar>
            <w:vAlign w:val="center"/>
          </w:tcPr>
          <w:p>
            <w:pPr>
              <w:jc w:val="center"/>
              <w:rPr>
                <w:rFonts w:hint="eastAsia" w:ascii="宋体"/>
                <w:sz w:val="24"/>
              </w:rPr>
            </w:pPr>
            <w:r>
              <w:rPr>
                <w:rFonts w:hint="eastAsia" w:ascii="Calibri" w:eastAsia="宋体" w:cs="Calibri"/>
                <w:kern w:val="0"/>
                <w:sz w:val="20"/>
                <w:szCs w:val="20"/>
                <w:lang w:val="en-US" w:eastAsia="zh-CN"/>
              </w:rPr>
              <w:t>0</w:t>
            </w:r>
          </w:p>
        </w:tc>
      </w:tr>
    </w:tbl>
    <w:p>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outlineLvl w:val="0"/>
        <w:rPr>
          <w:rFonts w:hint="eastAsia" w:ascii="黑体" w:hAnsi="黑体" w:eastAsia="黑体" w:cs="黑体"/>
          <w:color w:val="333333"/>
          <w:sz w:val="32"/>
          <w:szCs w:val="32"/>
        </w:rPr>
      </w:pPr>
      <w:r>
        <w:rPr>
          <w:rFonts w:hint="eastAsia" w:ascii="黑体" w:hAnsi="黑体" w:eastAsia="黑体" w:cs="黑体"/>
          <w:b/>
          <w:color w:val="333333"/>
          <w:sz w:val="32"/>
          <w:szCs w:val="32"/>
          <w:shd w:val="clear" w:color="auto" w:fill="FFFFFF"/>
        </w:rPr>
        <w:t>五、存在的主要问题及改进情况</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r>
        <w:rPr>
          <w:rFonts w:hint="default" w:ascii="仿宋_GB2312" w:eastAsia="仿宋_GB2312" w:cs="仿宋_GB2312"/>
          <w:i w:val="0"/>
          <w:iCs w:val="0"/>
          <w:caps w:val="0"/>
          <w:color w:val="auto"/>
          <w:spacing w:val="0"/>
          <w:sz w:val="32"/>
          <w:szCs w:val="32"/>
          <w:shd w:val="clear" w:fill="FFFFFF"/>
          <w:lang w:val="en-US" w:eastAsia="zh-CN"/>
        </w:rPr>
        <w:t>202</w:t>
      </w:r>
      <w:r>
        <w:rPr>
          <w:rFonts w:hint="eastAsia" w:ascii="仿宋_GB2312" w:eastAsia="仿宋_GB2312" w:cs="仿宋_GB2312"/>
          <w:i w:val="0"/>
          <w:iCs w:val="0"/>
          <w:caps w:val="0"/>
          <w:color w:val="auto"/>
          <w:spacing w:val="0"/>
          <w:sz w:val="32"/>
          <w:szCs w:val="32"/>
          <w:shd w:val="clear" w:fill="FFFFFF"/>
          <w:lang w:val="en-US" w:eastAsia="zh-CN"/>
        </w:rPr>
        <w:t>4</w:t>
      </w:r>
      <w:r>
        <w:rPr>
          <w:rFonts w:hint="default" w:ascii="仿宋_GB2312" w:eastAsia="仿宋_GB2312" w:cs="仿宋_GB2312"/>
          <w:i w:val="0"/>
          <w:iCs w:val="0"/>
          <w:caps w:val="0"/>
          <w:color w:val="auto"/>
          <w:spacing w:val="0"/>
          <w:sz w:val="32"/>
          <w:szCs w:val="32"/>
          <w:shd w:val="clear" w:fill="FFFFFF"/>
          <w:lang w:val="en-US" w:eastAsia="zh-CN"/>
        </w:rPr>
        <w:t>年，我们将采取有效措施积极改进,严格按照《条例》规定和省、市、县有关要求，不断提升公开质量，认真制定202</w:t>
      </w:r>
      <w:r>
        <w:rPr>
          <w:rFonts w:hint="eastAsia" w:ascii="仿宋_GB2312" w:eastAsia="仿宋_GB2312" w:cs="仿宋_GB2312"/>
          <w:i w:val="0"/>
          <w:iCs w:val="0"/>
          <w:caps w:val="0"/>
          <w:color w:val="auto"/>
          <w:spacing w:val="0"/>
          <w:sz w:val="32"/>
          <w:szCs w:val="32"/>
          <w:shd w:val="clear" w:fill="FFFFFF"/>
          <w:lang w:val="en-US" w:eastAsia="zh-CN"/>
        </w:rPr>
        <w:t>4</w:t>
      </w:r>
      <w:r>
        <w:rPr>
          <w:rFonts w:hint="default" w:ascii="仿宋_GB2312" w:eastAsia="仿宋_GB2312" w:cs="仿宋_GB2312"/>
          <w:i w:val="0"/>
          <w:iCs w:val="0"/>
          <w:caps w:val="0"/>
          <w:color w:val="auto"/>
          <w:spacing w:val="0"/>
          <w:sz w:val="32"/>
          <w:szCs w:val="32"/>
          <w:shd w:val="clear" w:fill="FFFFFF"/>
          <w:lang w:val="en-US" w:eastAsia="zh-CN"/>
        </w:rPr>
        <w:t>年全县政务公开工作计划，切实加大公开力度。充分发挥政务微博、政府网站、政务微信平台等媒体作用，规范完善公开内容，增强信息公开的实效性。持续加大对热点关注、政策解读栏目的公开力度；继续抓好主动公开和依申请公开工作，规范公开的内容、时限和程序，提高公开水平。持续加强信息公开业务学习，切实提高业务能力。</w:t>
      </w:r>
    </w:p>
    <w:p>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outlineLvl w:val="0"/>
        <w:rPr>
          <w:rFonts w:hint="eastAsia" w:ascii="黑体" w:hAnsi="黑体" w:eastAsia="黑体" w:cs="黑体"/>
          <w:b/>
          <w:color w:val="333333"/>
          <w:sz w:val="32"/>
          <w:szCs w:val="32"/>
          <w:shd w:val="clear" w:color="auto" w:fill="FFFFFF"/>
          <w:lang w:val="en-US" w:eastAsia="zh-CN"/>
        </w:rPr>
      </w:pPr>
      <w:r>
        <w:rPr>
          <w:rFonts w:hint="eastAsia" w:ascii="黑体" w:hAnsi="黑体" w:eastAsia="黑体" w:cs="黑体"/>
          <w:b/>
          <w:color w:val="333333"/>
          <w:sz w:val="32"/>
          <w:szCs w:val="32"/>
          <w:shd w:val="clear" w:color="auto" w:fill="FFFFFF"/>
          <w:lang w:val="en-US" w:eastAsia="zh-CN"/>
        </w:rPr>
        <w:t>六、其他需要报告的事项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认真贯彻执行国务院办公厅《政府信息公开信息处理费管理办法》和《关于政府信息公开处理费管理有关事项的通知》。</w:t>
      </w:r>
      <w:r>
        <w:rPr>
          <w:rFonts w:hint="default" w:ascii="仿宋_GB2312" w:hAnsi="宋体" w:eastAsia="仿宋_GB2312" w:cs="仿宋_GB2312"/>
          <w:i w:val="0"/>
          <w:iCs w:val="0"/>
          <w:caps w:val="0"/>
          <w:color w:val="auto"/>
          <w:spacing w:val="0"/>
          <w:kern w:val="0"/>
          <w:sz w:val="32"/>
          <w:szCs w:val="32"/>
          <w:shd w:val="clear" w:fill="FFFFFF"/>
          <w:lang w:val="en-US" w:eastAsia="zh-CN" w:bidi="ar-SA"/>
        </w:rPr>
        <w:t>202</w:t>
      </w:r>
      <w:r>
        <w:rPr>
          <w:rFonts w:hint="eastAsia" w:ascii="仿宋_GB2312" w:eastAsia="仿宋_GB2312" w:cs="仿宋_GB2312"/>
          <w:i w:val="0"/>
          <w:iCs w:val="0"/>
          <w:caps w:val="0"/>
          <w:color w:val="auto"/>
          <w:spacing w:val="0"/>
          <w:kern w:val="0"/>
          <w:sz w:val="32"/>
          <w:szCs w:val="32"/>
          <w:shd w:val="clear" w:fill="FFFFFF"/>
          <w:lang w:val="en-US" w:eastAsia="zh-CN" w:bidi="ar-SA"/>
        </w:rPr>
        <w:t>3</w:t>
      </w:r>
      <w:r>
        <w:rPr>
          <w:rFonts w:hint="default" w:ascii="仿宋_GB2312" w:hAnsi="宋体" w:eastAsia="仿宋_GB2312" w:cs="仿宋_GB2312"/>
          <w:i w:val="0"/>
          <w:iCs w:val="0"/>
          <w:caps w:val="0"/>
          <w:color w:val="auto"/>
          <w:spacing w:val="0"/>
          <w:kern w:val="0"/>
          <w:sz w:val="32"/>
          <w:szCs w:val="32"/>
          <w:shd w:val="clear" w:fill="FFFFFF"/>
          <w:lang w:val="en-US" w:eastAsia="zh-CN" w:bidi="ar-SA"/>
        </w:rPr>
        <w:t>年我单位未收取信息处理费。</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iNDUwMjczYjRkMjE5NmQ3OGVlZjgxMmE2ZjhjZTMifQ=="/>
  </w:docVars>
  <w:rsids>
    <w:rsidRoot w:val="172B5306"/>
    <w:rsid w:val="172B5306"/>
    <w:rsid w:val="218912A4"/>
    <w:rsid w:val="23112215"/>
    <w:rsid w:val="3DE81F02"/>
    <w:rsid w:val="4D1A2D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仿宋_GB2312" w:hAnsi="Times New Roman" w:eastAsia="仿宋_GB2312" w:cs="Times New Roman"/>
      <w:kern w:val="2"/>
      <w:sz w:val="32"/>
      <w:szCs w:val="24"/>
      <w:lang w:val="en-US" w:eastAsia="zh-CN" w:bidi="ar-SA"/>
    </w:rPr>
  </w:style>
  <w:style w:type="character" w:default="1" w:styleId="4">
    <w:name w:val="Default Paragraph Font"/>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5">
    <w:name w:val="Strong"/>
    <w:basedOn w:val="4"/>
    <w:autoRedefine/>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1422</Words>
  <Characters>1469</Characters>
  <Lines>0</Lines>
  <Paragraphs>0</Paragraphs>
  <TotalTime>1</TotalTime>
  <ScaleCrop>false</ScaleCrop>
  <LinksUpToDate>false</LinksUpToDate>
  <CharactersWithSpaces>1650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2024-01-16T06:50:00Z</dcterms:created>
  <dc:creator>姬很烦。</dc:creator>
  <cp:lastModifiedBy>姬很烦。</cp:lastModifiedBy>
  <dcterms:modified xsi:type="dcterms:W3CDTF">2024-01-26T07:35:37Z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D94F24EB7990443FA74127107706DE0E_11</vt:lpwstr>
  </property>
</Properties>
</file>