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jc w:val="center"/>
        <w:textAlignment w:val="auto"/>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pPr>
      <w:r>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t>涞源县</w:t>
      </w:r>
      <w:r>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t>乌龙沟乡人民政府</w:t>
      </w: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jc w:val="center"/>
        <w:textAlignment w:val="auto"/>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pPr>
      <w:r>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t>2023年政府信息公开工作年度报告</w:t>
      </w:r>
    </w:p>
    <w:p>
      <w:pPr>
        <w:pStyle w:val="2"/>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outlineLvl w:val="0"/>
        <w:rPr>
          <w:rFonts w:hint="eastAsia"/>
          <w:color w:val="333333"/>
          <w:shd w:val="clear" w:color="auto" w:fill="FFFFFF"/>
        </w:rPr>
      </w:pP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rPr>
      </w:pPr>
      <w:r>
        <w:rPr>
          <w:rFonts w:hint="eastAsia" w:ascii="仿宋_GB2312" w:hAnsi="宋体" w:eastAsia="仿宋_GB2312" w:cs="仿宋_GB2312"/>
          <w:i w:val="0"/>
          <w:iCs w:val="0"/>
          <w:caps w:val="0"/>
          <w:color w:val="auto"/>
          <w:spacing w:val="0"/>
          <w:sz w:val="32"/>
          <w:szCs w:val="32"/>
          <w:shd w:val="clear" w:fill="FFFFFF"/>
        </w:rPr>
        <w:t>202</w:t>
      </w:r>
      <w:r>
        <w:rPr>
          <w:rFonts w:hint="eastAsia" w:ascii="仿宋_GB2312" w:hAnsi="宋体" w:eastAsia="仿宋_GB2312" w:cs="仿宋_GB2312"/>
          <w:i w:val="0"/>
          <w:iCs w:val="0"/>
          <w:caps w:val="0"/>
          <w:color w:val="auto"/>
          <w:spacing w:val="0"/>
          <w:sz w:val="32"/>
          <w:szCs w:val="32"/>
          <w:shd w:val="clear" w:fill="FFFFFF"/>
          <w:lang w:val="en-US" w:eastAsia="zh-CN"/>
        </w:rPr>
        <w:t>3</w:t>
      </w:r>
      <w:r>
        <w:rPr>
          <w:rFonts w:hint="eastAsia" w:ascii="仿宋_GB2312" w:hAnsi="宋体" w:eastAsia="仿宋_GB2312" w:cs="仿宋_GB2312"/>
          <w:i w:val="0"/>
          <w:iCs w:val="0"/>
          <w:caps w:val="0"/>
          <w:color w:val="auto"/>
          <w:spacing w:val="0"/>
          <w:sz w:val="32"/>
          <w:szCs w:val="32"/>
          <w:shd w:val="clear" w:fill="FFFFFF"/>
        </w:rPr>
        <w:t>年，乌龙沟乡人民政府坚持以习近平新时代中国特色社会主义思想为指引，深入学习党的二十大和和习近平总书记对河北工作的重要指示批示精神，全面贯彻落实</w:t>
      </w:r>
      <w:r>
        <w:rPr>
          <w:rFonts w:hint="eastAsia" w:ascii="仿宋_GB2312" w:hAnsi="宋体" w:eastAsia="仿宋_GB2312" w:cs="仿宋_GB2312"/>
          <w:i w:val="0"/>
          <w:iCs w:val="0"/>
          <w:caps w:val="0"/>
          <w:color w:val="auto"/>
          <w:spacing w:val="0"/>
          <w:sz w:val="32"/>
          <w:szCs w:val="32"/>
          <w:shd w:val="clear" w:fill="FFFFFF"/>
          <w:lang w:eastAsia="zh-CN"/>
        </w:rPr>
        <w:t>县</w:t>
      </w:r>
      <w:r>
        <w:rPr>
          <w:rFonts w:hint="eastAsia" w:ascii="仿宋_GB2312" w:hAnsi="宋体" w:eastAsia="仿宋_GB2312" w:cs="仿宋_GB2312"/>
          <w:i w:val="0"/>
          <w:iCs w:val="0"/>
          <w:caps w:val="0"/>
          <w:color w:val="auto"/>
          <w:spacing w:val="0"/>
          <w:sz w:val="32"/>
          <w:szCs w:val="32"/>
          <w:shd w:val="clear" w:fill="FFFFFF"/>
        </w:rPr>
        <w:t>委、</w:t>
      </w:r>
      <w:r>
        <w:rPr>
          <w:rFonts w:hint="eastAsia" w:ascii="仿宋_GB2312" w:hAnsi="宋体" w:eastAsia="仿宋_GB2312" w:cs="仿宋_GB2312"/>
          <w:i w:val="0"/>
          <w:iCs w:val="0"/>
          <w:caps w:val="0"/>
          <w:color w:val="auto"/>
          <w:spacing w:val="0"/>
          <w:sz w:val="32"/>
          <w:szCs w:val="32"/>
          <w:shd w:val="clear" w:fill="FFFFFF"/>
          <w:lang w:eastAsia="zh-CN"/>
        </w:rPr>
        <w:t>县</w:t>
      </w:r>
      <w:r>
        <w:rPr>
          <w:rFonts w:hint="eastAsia" w:ascii="仿宋_GB2312" w:hAnsi="宋体" w:eastAsia="仿宋_GB2312" w:cs="仿宋_GB2312"/>
          <w:i w:val="0"/>
          <w:iCs w:val="0"/>
          <w:caps w:val="0"/>
          <w:color w:val="auto"/>
          <w:spacing w:val="0"/>
          <w:sz w:val="32"/>
          <w:szCs w:val="32"/>
          <w:shd w:val="clear" w:fill="FFFFFF"/>
        </w:rPr>
        <w:t>政府工作部署，坚持以人民为中心的思想，深化信息公开工作，严格执行《中华人民共和国政府信息公开条例》和有关政府信息公开的要求，编写了202</w:t>
      </w:r>
      <w:r>
        <w:rPr>
          <w:rFonts w:hint="eastAsia" w:ascii="仿宋_GB2312" w:hAnsi="宋体" w:eastAsia="仿宋_GB2312" w:cs="仿宋_GB2312"/>
          <w:i w:val="0"/>
          <w:iCs w:val="0"/>
          <w:caps w:val="0"/>
          <w:color w:val="auto"/>
          <w:spacing w:val="0"/>
          <w:sz w:val="32"/>
          <w:szCs w:val="32"/>
          <w:shd w:val="clear" w:fill="FFFFFF"/>
          <w:lang w:val="en-US" w:eastAsia="zh-CN"/>
        </w:rPr>
        <w:t>3</w:t>
      </w:r>
      <w:r>
        <w:rPr>
          <w:rFonts w:hint="eastAsia" w:ascii="仿宋_GB2312" w:hAnsi="宋体" w:eastAsia="仿宋_GB2312" w:cs="仿宋_GB2312"/>
          <w:i w:val="0"/>
          <w:iCs w:val="0"/>
          <w:caps w:val="0"/>
          <w:color w:val="auto"/>
          <w:spacing w:val="0"/>
          <w:sz w:val="32"/>
          <w:szCs w:val="32"/>
          <w:shd w:val="clear" w:fill="FFFFFF"/>
        </w:rPr>
        <w:t>年政府信息公开工作年度报告。本年度报告中所列数据的统计期限自202</w:t>
      </w:r>
      <w:r>
        <w:rPr>
          <w:rFonts w:hint="eastAsia" w:ascii="仿宋_GB2312" w:hAnsi="宋体" w:eastAsia="仿宋_GB2312" w:cs="仿宋_GB2312"/>
          <w:i w:val="0"/>
          <w:iCs w:val="0"/>
          <w:caps w:val="0"/>
          <w:color w:val="auto"/>
          <w:spacing w:val="0"/>
          <w:sz w:val="32"/>
          <w:szCs w:val="32"/>
          <w:shd w:val="clear" w:fill="FFFFFF"/>
          <w:lang w:val="en-US" w:eastAsia="zh-CN"/>
        </w:rPr>
        <w:t>3</w:t>
      </w:r>
      <w:r>
        <w:rPr>
          <w:rFonts w:hint="eastAsia" w:ascii="仿宋_GB2312" w:hAnsi="宋体" w:eastAsia="仿宋_GB2312" w:cs="仿宋_GB2312"/>
          <w:i w:val="0"/>
          <w:iCs w:val="0"/>
          <w:caps w:val="0"/>
          <w:color w:val="auto"/>
          <w:spacing w:val="0"/>
          <w:sz w:val="32"/>
          <w:szCs w:val="32"/>
          <w:shd w:val="clear" w:fill="FFFFFF"/>
        </w:rPr>
        <w:t>年1月1日起至202</w:t>
      </w:r>
      <w:r>
        <w:rPr>
          <w:rFonts w:hint="eastAsia" w:ascii="仿宋_GB2312" w:hAnsi="宋体" w:eastAsia="仿宋_GB2312" w:cs="仿宋_GB2312"/>
          <w:i w:val="0"/>
          <w:iCs w:val="0"/>
          <w:caps w:val="0"/>
          <w:color w:val="auto"/>
          <w:spacing w:val="0"/>
          <w:sz w:val="32"/>
          <w:szCs w:val="32"/>
          <w:shd w:val="clear" w:fill="FFFFFF"/>
          <w:lang w:val="en-US" w:eastAsia="zh-CN"/>
        </w:rPr>
        <w:t>3</w:t>
      </w:r>
      <w:r>
        <w:rPr>
          <w:rFonts w:hint="eastAsia" w:ascii="仿宋_GB2312" w:hAnsi="宋体" w:eastAsia="仿宋_GB2312" w:cs="仿宋_GB2312"/>
          <w:i w:val="0"/>
          <w:iCs w:val="0"/>
          <w:caps w:val="0"/>
          <w:color w:val="auto"/>
          <w:spacing w:val="0"/>
          <w:sz w:val="32"/>
          <w:szCs w:val="32"/>
          <w:shd w:val="clear" w:fill="FFFFFF"/>
        </w:rPr>
        <w:t>年12月31日止。</w:t>
      </w:r>
    </w:p>
    <w:p>
      <w:pPr>
        <w:pStyle w:val="2"/>
        <w:keepNext w:val="0"/>
        <w:keepLines w:val="0"/>
        <w:pageBreakBefore w:val="0"/>
        <w:widowControl/>
        <w:numPr>
          <w:ilvl w:val="0"/>
          <w:numId w:val="1"/>
        </w:numPr>
        <w:shd w:val="clear" w:color="auto"/>
        <w:kinsoku/>
        <w:wordWrap/>
        <w:overflowPunct/>
        <w:topLinePunct w:val="0"/>
        <w:autoSpaceDE/>
        <w:autoSpaceDN/>
        <w:bidi w:val="0"/>
        <w:adjustRightInd/>
        <w:snapToGrid/>
        <w:spacing w:before="0" w:beforeAutospacing="0" w:after="0" w:afterAutospacing="0" w:line="520" w:lineRule="exact"/>
        <w:ind w:firstLine="643" w:firstLineChars="200"/>
        <w:jc w:val="both"/>
        <w:textAlignment w:val="auto"/>
        <w:rPr>
          <w:rFonts w:hint="eastAsia" w:ascii="黑体" w:hAnsi="黑体" w:eastAsia="黑体" w:cs="黑体"/>
          <w:b/>
          <w:color w:val="333333"/>
          <w:sz w:val="32"/>
          <w:szCs w:val="32"/>
          <w:shd w:val="clear" w:color="auto" w:fill="FFFFFF"/>
          <w:lang w:val="en-US" w:eastAsia="zh-CN"/>
        </w:rPr>
      </w:pPr>
      <w:r>
        <w:rPr>
          <w:rFonts w:hint="eastAsia" w:ascii="黑体" w:hAnsi="黑体" w:eastAsia="黑体" w:cs="黑体"/>
          <w:b/>
          <w:color w:val="333333"/>
          <w:sz w:val="32"/>
          <w:szCs w:val="32"/>
          <w:shd w:val="clear" w:color="auto" w:fill="FFFFFF"/>
          <w:lang w:val="en-US" w:eastAsia="zh-CN"/>
        </w:rPr>
        <w:t>总体情况</w:t>
      </w:r>
    </w:p>
    <w:p>
      <w:pPr>
        <w:pStyle w:val="2"/>
        <w:keepNext w:val="0"/>
        <w:keepLines w:val="0"/>
        <w:pageBreakBefore w:val="0"/>
        <w:widowControl/>
        <w:numPr>
          <w:numId w:val="0"/>
        </w:numPr>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pPr>
      <w:r>
        <w:rPr>
          <w:rFonts w:hint="eastAsia" w:ascii="仿宋_GB2312" w:hAnsi="宋体" w:eastAsia="仿宋_GB2312" w:cs="仿宋_GB2312"/>
          <w:i w:val="0"/>
          <w:iCs w:val="0"/>
          <w:caps w:val="0"/>
          <w:color w:val="auto"/>
          <w:spacing w:val="0"/>
          <w:sz w:val="32"/>
          <w:szCs w:val="32"/>
          <w:shd w:val="clear" w:fill="FFFFFF"/>
          <w:lang w:val="en-US" w:eastAsia="zh-CN"/>
        </w:rPr>
        <w:t>2023年，我</w:t>
      </w:r>
      <w:r>
        <w:rPr>
          <w:rFonts w:hint="eastAsia" w:ascii="仿宋_GB2312" w:eastAsia="仿宋_GB2312" w:cs="仿宋_GB2312"/>
          <w:i w:val="0"/>
          <w:iCs w:val="0"/>
          <w:caps w:val="0"/>
          <w:color w:val="auto"/>
          <w:spacing w:val="0"/>
          <w:sz w:val="32"/>
          <w:szCs w:val="32"/>
          <w:shd w:val="clear" w:fill="FFFFFF"/>
          <w:lang w:val="en-US" w:eastAsia="zh-CN"/>
        </w:rPr>
        <w:t>乡</w:t>
      </w:r>
      <w:r>
        <w:rPr>
          <w:rFonts w:hint="eastAsia" w:ascii="仿宋_GB2312" w:hAnsi="宋体" w:eastAsia="仿宋_GB2312" w:cs="仿宋_GB2312"/>
          <w:i w:val="0"/>
          <w:iCs w:val="0"/>
          <w:caps w:val="0"/>
          <w:color w:val="auto"/>
          <w:spacing w:val="0"/>
          <w:sz w:val="32"/>
          <w:szCs w:val="32"/>
          <w:shd w:val="clear" w:fill="FFFFFF"/>
          <w:lang w:val="en-US" w:eastAsia="zh-CN"/>
        </w:rPr>
        <w:t>严格按照国家、省、市、县有关要求，不断加大政府信息公开力度，建立健全政府信息公开工作机制，明确政府信息公开工作主管副职，实行专人负责，及时在网站上公布年度报告，保证政府信息公开工作顺利开展。</w:t>
      </w:r>
      <w:r>
        <w:rPr>
          <w:shd w:val="clear" w:fill="FFFFFF"/>
        </w:rPr>
        <w:t xml:space="preserve">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 xml:space="preserve">（一）主动公开政府信息 </w:t>
      </w: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val="en-US" w:eastAsia="zh-CN"/>
        </w:rPr>
      </w:pPr>
      <w:r>
        <w:rPr>
          <w:rFonts w:hint="eastAsia" w:ascii="仿宋_GB2312" w:hAnsi="宋体" w:eastAsia="仿宋_GB2312" w:cs="仿宋_GB2312"/>
          <w:i w:val="0"/>
          <w:iCs w:val="0"/>
          <w:caps w:val="0"/>
          <w:color w:val="auto"/>
          <w:spacing w:val="0"/>
          <w:sz w:val="32"/>
          <w:szCs w:val="32"/>
          <w:shd w:val="clear" w:fill="FFFFFF"/>
          <w:lang w:val="en-US" w:eastAsia="zh-CN"/>
        </w:rPr>
        <w:t>严格按照政府信息公开要求，扎实开展政府信息公开工作，结合工作实际进行政府信息公开，2023年在涞源政府信息公开平台主动公开政府信息4条，在</w:t>
      </w:r>
      <w:r>
        <w:rPr>
          <w:rFonts w:hint="eastAsia" w:ascii="仿宋_GB2312" w:eastAsia="仿宋_GB2312" w:cs="仿宋_GB2312"/>
          <w:i w:val="0"/>
          <w:iCs w:val="0"/>
          <w:caps w:val="0"/>
          <w:color w:val="auto"/>
          <w:spacing w:val="0"/>
          <w:sz w:val="32"/>
          <w:szCs w:val="32"/>
          <w:shd w:val="clear" w:fill="FFFFFF"/>
          <w:lang w:val="en-US" w:eastAsia="zh-CN"/>
        </w:rPr>
        <w:t>乡</w:t>
      </w:r>
      <w:r>
        <w:rPr>
          <w:rFonts w:hint="eastAsia" w:ascii="仿宋_GB2312" w:hAnsi="宋体" w:eastAsia="仿宋_GB2312" w:cs="仿宋_GB2312"/>
          <w:i w:val="0"/>
          <w:iCs w:val="0"/>
          <w:caps w:val="0"/>
          <w:color w:val="auto"/>
          <w:spacing w:val="0"/>
          <w:sz w:val="32"/>
          <w:szCs w:val="32"/>
          <w:shd w:val="clear" w:fill="FFFFFF"/>
          <w:lang w:val="en-US" w:eastAsia="zh-CN"/>
        </w:rPr>
        <w:t xml:space="preserve">微信公众号发布、转发内容共416篇，同时积极向上级宣传平台提供信息，整体工作较往年有了进一步提升。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 xml:space="preserve">（二）依申请公开情况及行政复议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严格按照《中华人民共和国政府信息公开条例》，建立完善公开制度，我</w:t>
      </w:r>
      <w:r>
        <w:rPr>
          <w:rFonts w:hint="eastAsia" w:hAnsi="宋体" w:cs="仿宋_GB2312"/>
          <w:i w:val="0"/>
          <w:iCs w:val="0"/>
          <w:caps w:val="0"/>
          <w:color w:val="auto"/>
          <w:spacing w:val="0"/>
          <w:kern w:val="0"/>
          <w:sz w:val="32"/>
          <w:szCs w:val="32"/>
          <w:shd w:val="clear" w:fill="FFFFFF"/>
          <w:lang w:val="en-US" w:eastAsia="zh-CN" w:bidi="ar-SA"/>
        </w:rPr>
        <w:t>乡</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 xml:space="preserve">于2023年未接到依申请公开事项及行政复议情况。 </w:t>
      </w:r>
    </w:p>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 xml:space="preserve">政府信息管理方面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进一步完善主动公开、依申请公开、信息保密审查以及考核和责任追究等制度，建立健全信息公开保障机制。</w:t>
      </w:r>
      <w:r>
        <w:rPr>
          <w:rFonts w:hint="eastAsia" w:ascii="仿宋_GB2312" w:eastAsia="仿宋_GB2312" w:cs="仿宋_GB2312"/>
          <w:i w:val="0"/>
          <w:iCs w:val="0"/>
          <w:caps w:val="0"/>
          <w:color w:val="auto"/>
          <w:spacing w:val="0"/>
          <w:kern w:val="0"/>
          <w:sz w:val="32"/>
          <w:szCs w:val="32"/>
          <w:shd w:val="clear" w:fill="FFFFFF"/>
          <w:lang w:val="en-US" w:eastAsia="zh-CN" w:bidi="ar-SA"/>
        </w:rPr>
        <w:t>我</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乡严格按照《中华人民共和国政府信息公开条例》及《中华人民共和国保守国家秘密法》有关规定，完善政府信息主动公开工作流程，使信息及时、准确、规范上传，保证了政务公开工作扎实高效开展。</w:t>
      </w:r>
    </w:p>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 xml:space="preserve">政府信息公开平台建设方面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right="0" w:rightChars="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严格按照县门户网站管理办法积极维护政府网站，按照《中华人民共和国政府信息公开条例》《保定市</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2023年政务公开工作要点》有关要求，</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持续推进主动公开、依申请公开、政策解读、等方面的工作。</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同时</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积极维护乡</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微信公众号，明确专人负责，积极推进重点领域信息公开，做到内容严格把关、更新及时准确，同时定期开展自查，做到发现问题及时整改。</w:t>
      </w:r>
    </w:p>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 xml:space="preserve">政府信息监督保障方面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right="0" w:rightChars="0" w:firstLine="640" w:firstLineChars="200"/>
        <w:jc w:val="both"/>
        <w:textAlignment w:val="auto"/>
        <w:rPr>
          <w:rFonts w:hint="default"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严格按照县政府要求，尽最大限度地实行公开，</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成立信息公开领导小组</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，明确专人负责</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不定期检查政府信息公开的执行情况</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对应该公开而没有公开，以及公开内容不规范的责令整改。</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lang w:val="en-US" w:eastAsia="zh-CN"/>
        </w:rPr>
      </w:pPr>
      <w:r>
        <w:rPr>
          <w:rFonts w:hint="eastAsia" w:ascii="黑体" w:hAnsi="黑体" w:eastAsia="黑体" w:cs="黑体"/>
          <w:b/>
          <w:color w:val="333333"/>
          <w:sz w:val="32"/>
          <w:szCs w:val="32"/>
          <w:shd w:val="clear" w:color="auto" w:fill="FFFFFF"/>
          <w:lang w:val="en-US" w:eastAsia="zh-CN"/>
        </w:rPr>
        <w:t>二、主动公开政府信息情况</w:t>
      </w:r>
    </w:p>
    <w:tbl>
      <w:tblPr>
        <w:tblStyle w:val="3"/>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35"/>
        <w:gridCol w:w="2435"/>
        <w:gridCol w:w="2435"/>
        <w:gridCol w:w="24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本年制发件数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现行有效件数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宋体" w:hAnsi="宋体" w:eastAsia="宋体" w:cs="宋体"/>
                <w:caps w:val="0"/>
                <w:spacing w:val="0"/>
                <w:kern w:val="0"/>
                <w:sz w:val="32"/>
                <w:szCs w:val="32"/>
                <w:lang w:val="en-US" w:eastAsia="zh-CN" w:bidi="ar"/>
              </w:rPr>
            </w:pPr>
            <w:r>
              <w:rPr>
                <w:rFonts w:hint="eastAsia" w:ascii="宋体" w:hAnsi="宋体" w:eastAsia="宋体" w:cs="宋体"/>
                <w:caps w:val="0"/>
                <w:spacing w:val="0"/>
                <w:kern w:val="0"/>
                <w:sz w:val="32"/>
                <w:szCs w:val="32"/>
                <w:lang w:val="en-US" w:eastAsia="zh-CN" w:bidi="ar"/>
              </w:rPr>
              <w:t>0</w:t>
            </w: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0"/>
        <w:textAlignment w:val="auto"/>
        <w:rPr>
          <w:rFonts w:hint="eastAsia" w:ascii="宋体" w:hAnsi="宋体" w:eastAsia="宋体" w:cs="宋体"/>
          <w:i w:val="0"/>
          <w:iCs w:val="0"/>
          <w:caps w:val="0"/>
          <w:color w:val="333333"/>
          <w:spacing w:val="0"/>
          <w:sz w:val="24"/>
          <w:szCs w:val="24"/>
        </w:rPr>
      </w:pP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宋体" w:hAnsi="宋体" w:eastAsia="宋体" w:cs="宋体"/>
          <w:i w:val="0"/>
          <w:iCs w:val="0"/>
          <w:caps w:val="0"/>
          <w:color w:val="333333"/>
          <w:spacing w:val="0"/>
          <w:sz w:val="24"/>
          <w:szCs w:val="24"/>
        </w:rPr>
      </w:pPr>
      <w:r>
        <w:rPr>
          <w:rFonts w:hint="eastAsia" w:ascii="黑体" w:hAnsi="黑体" w:eastAsia="黑体" w:cs="黑体"/>
          <w:b/>
          <w:color w:val="333333"/>
          <w:sz w:val="32"/>
          <w:szCs w:val="32"/>
          <w:shd w:val="clear" w:color="auto" w:fill="FFFFFF"/>
        </w:rPr>
        <w:t>三、收到和处理政府信息公开申请情况</w:t>
      </w: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68"/>
        <w:gridCol w:w="943"/>
        <w:gridCol w:w="3220"/>
        <w:gridCol w:w="688"/>
        <w:gridCol w:w="688"/>
        <w:gridCol w:w="688"/>
        <w:gridCol w:w="688"/>
        <w:gridCol w:w="688"/>
        <w:gridCol w:w="688"/>
        <w:gridCol w:w="68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4931"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（本列数据的勾稽关系为：第一项加第二项之和，等于第三项加第四项之和）</w:t>
            </w:r>
          </w:p>
        </w:tc>
        <w:tc>
          <w:tcPr>
            <w:tcW w:w="4817"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left"/>
              <w:rPr>
                <w:rFonts w:hint="eastAsia" w:ascii="宋体" w:hAnsi="宋体" w:eastAsia="宋体" w:cs="宋体"/>
                <w:kern w:val="0"/>
                <w:sz w:val="20"/>
                <w:szCs w:val="20"/>
              </w:rPr>
            </w:pPr>
          </w:p>
        </w:tc>
        <w:tc>
          <w:tcPr>
            <w:tcW w:w="688"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自然人</w:t>
            </w:r>
          </w:p>
        </w:tc>
        <w:tc>
          <w:tcPr>
            <w:tcW w:w="344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法人或其他组织</w:t>
            </w:r>
          </w:p>
        </w:tc>
        <w:tc>
          <w:tcPr>
            <w:tcW w:w="689"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left"/>
              <w:rPr>
                <w:rFonts w:hint="eastAsia" w:ascii="宋体" w:hAnsi="宋体" w:eastAsia="宋体" w:cs="宋体"/>
                <w:kern w:val="0"/>
                <w:sz w:val="20"/>
                <w:szCs w:val="20"/>
              </w:rPr>
            </w:pPr>
          </w:p>
        </w:tc>
        <w:tc>
          <w:tcPr>
            <w:tcW w:w="688"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商业</w:t>
            </w:r>
          </w:p>
          <w:p>
            <w:pPr>
              <w:jc w:val="center"/>
              <w:rPr>
                <w:rFonts w:hint="eastAsia" w:ascii="宋体" w:hAnsi="宋体" w:eastAsia="宋体" w:cs="宋体"/>
                <w:sz w:val="20"/>
                <w:szCs w:val="20"/>
              </w:rPr>
            </w:pPr>
            <w:r>
              <w:rPr>
                <w:rFonts w:hint="eastAsia" w:ascii="宋体" w:hAnsi="宋体" w:eastAsia="宋体" w:cs="宋体"/>
                <w:sz w:val="20"/>
                <w:szCs w:val="20"/>
                <w:lang w:val="en-US" w:eastAsia="zh-CN"/>
              </w:rPr>
              <w:t>企业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科研</w:t>
            </w:r>
          </w:p>
          <w:p>
            <w:pPr>
              <w:jc w:val="center"/>
              <w:rPr>
                <w:rFonts w:hint="eastAsia" w:ascii="宋体" w:hAnsi="宋体" w:eastAsia="宋体" w:cs="宋体"/>
                <w:sz w:val="20"/>
                <w:szCs w:val="20"/>
              </w:rPr>
            </w:pPr>
            <w:r>
              <w:rPr>
                <w:rFonts w:hint="eastAsia" w:ascii="宋体" w:hAnsi="宋体" w:eastAsia="宋体" w:cs="宋体"/>
                <w:sz w:val="20"/>
                <w:szCs w:val="20"/>
                <w:lang w:val="en-US" w:eastAsia="zh-CN"/>
              </w:rPr>
              <w:t>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社会公益组织</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法律服务机构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r>
              <w:rPr>
                <w:rFonts w:hint="eastAsia" w:ascii="宋体" w:hAnsi="宋体" w:eastAsia="宋体" w:cs="宋体"/>
                <w:sz w:val="20"/>
                <w:szCs w:val="20"/>
                <w:lang w:val="en-US" w:eastAsia="zh-CN"/>
              </w:rPr>
              <w:t>其他</w:t>
            </w:r>
          </w:p>
        </w:tc>
        <w:tc>
          <w:tcPr>
            <w:tcW w:w="689"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hAnsi="宋体" w:eastAsia="宋体" w:cs="宋体"/>
                <w:sz w:val="20"/>
                <w:szCs w:val="20"/>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一、本年新收政府信息公开申请数量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default"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default"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宋体" w:hAnsi="宋体" w:eastAsia="宋体" w:cs="宋体"/>
                <w:kern w:val="0"/>
                <w:sz w:val="20"/>
                <w:szCs w:val="20"/>
              </w:rPr>
            </w:pPr>
            <w:r>
              <w:rPr>
                <w:rFonts w:hint="eastAsia" w:ascii="宋体" w:hAnsi="宋体" w:eastAsia="宋体" w:cs="宋体"/>
                <w:kern w:val="0"/>
                <w:sz w:val="20"/>
                <w:szCs w:val="20"/>
                <w:lang w:val="en-US" w:eastAsia="zh-CN"/>
              </w:rPr>
              <w:t>二、上年结转政府信息公开申请数量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jc w:val="left"/>
              <w:textAlignment w:val="auto"/>
            </w:pPr>
            <w:r>
              <w:rPr>
                <w:rFonts w:hint="eastAsia" w:ascii="宋体" w:hAnsi="宋体" w:eastAsia="宋体" w:cs="宋体"/>
                <w:kern w:val="0"/>
                <w:sz w:val="20"/>
                <w:szCs w:val="20"/>
                <w:lang w:val="en-US" w:eastAsia="zh-CN" w:bidi="ar"/>
              </w:rPr>
              <w:t>三、本年度办理结果</w:t>
            </w: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（一）予以公开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（二）部分公开（区分处理的，只计这一情形，不计其他情形）</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（三）不予公开</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1.属于国家秘密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2.其他法律行政法规禁止公开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3.危及“三安全一稳定”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4.保护第三方合法权益</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5.属于三类内部事务信息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6.属于四类过程性信息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7.属于行政执法案卷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8.属于行政查询事项</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（四）无法提供</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1.本机关不掌握相关政府信息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2.没有现成信息需要另行制作</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3.补正后申请内容仍不明确</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（五）不予处理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1.信访举报投诉类申请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2.重复申请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3.要求提供公开出版物</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4.无正当理由大量反复申请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5.要求行政机关确认或重新出具已获取信息</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（六）其他处理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1.申请人无正当理由逾期不补正、行政机关不再处理其政府信息公开申请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2.申请人逾期未按收费通知要求缴纳费用、行政机关不再处理其政府信息公开申请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3.其他</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left"/>
              <w:rPr>
                <w:rFonts w:hint="eastAsia" w:ascii="楷体" w:hAnsi="楷体" w:eastAsia="楷体" w:cs="楷体"/>
                <w:kern w:val="0"/>
                <w:sz w:val="20"/>
                <w:szCs w:val="20"/>
              </w:rPr>
            </w:pPr>
            <w:r>
              <w:rPr>
                <w:rFonts w:hint="eastAsia" w:ascii="楷体" w:hAnsi="楷体" w:eastAsia="楷体" w:cs="楷体"/>
                <w:kern w:val="0"/>
                <w:sz w:val="20"/>
                <w:szCs w:val="20"/>
                <w:lang w:val="en-US" w:eastAsia="zh-CN"/>
              </w:rPr>
              <w:t>（七）总计</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jc w:val="left"/>
              <w:textAlignment w:val="auto"/>
            </w:pPr>
            <w:r>
              <w:rPr>
                <w:rFonts w:hint="eastAsia" w:ascii="宋体" w:hAnsi="宋体" w:eastAsia="宋体" w:cs="宋体"/>
                <w:kern w:val="0"/>
                <w:sz w:val="20"/>
                <w:szCs w:val="20"/>
                <w:lang w:val="en-US" w:eastAsia="zh-CN" w:bidi="ar"/>
              </w:rPr>
              <w:t>四、结转下年度继续办理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widowControl/>
              <w:spacing w:after="180"/>
              <w:jc w:val="center"/>
              <w:rPr>
                <w:rFonts w:hint="default"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bl>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jc w:val="both"/>
        <w:textAlignment w:val="auto"/>
        <w:rPr>
          <w:rFonts w:hint="eastAsia" w:ascii="宋体" w:hAnsi="宋体" w:eastAsia="宋体" w:cs="宋体"/>
          <w:i w:val="0"/>
          <w:iCs w:val="0"/>
          <w:caps w:val="0"/>
          <w:color w:val="333333"/>
          <w:spacing w:val="0"/>
          <w:sz w:val="24"/>
          <w:szCs w:val="24"/>
        </w:rPr>
      </w:pPr>
      <w:r>
        <w:rPr>
          <w:rFonts w:hint="eastAsia" w:ascii="黑体" w:hAnsi="黑体" w:eastAsia="黑体" w:cs="黑体"/>
          <w:b/>
          <w:color w:val="333333"/>
          <w:sz w:val="32"/>
          <w:szCs w:val="32"/>
          <w:shd w:val="clear" w:color="auto" w:fill="FFFFFF"/>
        </w:rPr>
        <w:t>四、政府信息公开行政复议、行政诉讼情况</w:t>
      </w: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324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行政复议</w:t>
            </w:r>
          </w:p>
        </w:tc>
        <w:tc>
          <w:tcPr>
            <w:tcW w:w="6503"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9"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结果维持</w:t>
            </w:r>
          </w:p>
        </w:tc>
        <w:tc>
          <w:tcPr>
            <w:tcW w:w="649"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总计</w:t>
            </w:r>
          </w:p>
        </w:tc>
        <w:tc>
          <w:tcPr>
            <w:tcW w:w="3248"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未经复议直接起诉</w:t>
            </w:r>
          </w:p>
        </w:tc>
        <w:tc>
          <w:tcPr>
            <w:tcW w:w="325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9"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0"/>
                <w:szCs w:val="20"/>
              </w:rPr>
            </w:pPr>
          </w:p>
        </w:tc>
        <w:tc>
          <w:tcPr>
            <w:tcW w:w="649"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0"/>
                <w:szCs w:val="20"/>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0"/>
                <w:szCs w:val="20"/>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0"/>
                <w:szCs w:val="20"/>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520" w:lineRule="exact"/>
              <w:textAlignment w:val="auto"/>
              <w:rPr>
                <w:rFonts w:hint="eastAsia" w:ascii="宋体"/>
                <w:sz w:val="20"/>
                <w:szCs w:val="20"/>
              </w:rPr>
            </w:pP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color w:val="000000"/>
                <w:kern w:val="0"/>
                <w:sz w:val="20"/>
                <w:szCs w:val="20"/>
                <w:lang w:val="en-US" w:eastAsia="zh-CN" w:bidi="ar"/>
              </w:rPr>
              <w:t>总计</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color w:val="000000"/>
                <w:kern w:val="0"/>
                <w:sz w:val="20"/>
                <w:szCs w:val="20"/>
                <w:lang w:val="en-US" w:eastAsia="zh-CN" w:bidi="ar"/>
              </w:rPr>
              <w:t>其他</w:t>
            </w:r>
            <w:r>
              <w:rPr>
                <w:rFonts w:hint="eastAsia" w:ascii="宋体" w:hAnsi="宋体" w:eastAsia="宋体" w:cs="宋体"/>
                <w:color w:val="000000"/>
                <w:kern w:val="0"/>
                <w:sz w:val="20"/>
                <w:szCs w:val="20"/>
                <w:lang w:val="en-US" w:eastAsia="zh-CN" w:bidi="ar"/>
              </w:rPr>
              <w:br w:type="textWrapping"/>
            </w:r>
            <w:r>
              <w:rPr>
                <w:rFonts w:hint="eastAsia" w:ascii="宋体" w:hAnsi="宋体" w:eastAsia="宋体" w:cs="宋体"/>
                <w:color w:val="000000"/>
                <w:kern w:val="0"/>
                <w:sz w:val="20"/>
                <w:szCs w:val="20"/>
                <w:lang w:val="en-US" w:eastAsia="zh-CN" w:bidi="ar"/>
              </w:rPr>
              <w:t>结果</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0"/>
              <w:jc w:val="center"/>
              <w:textAlignment w:val="auto"/>
              <w:rPr>
                <w:sz w:val="20"/>
                <w:szCs w:val="20"/>
              </w:rPr>
            </w:pPr>
            <w:r>
              <w:rPr>
                <w:rFonts w:hint="eastAsia" w:ascii="宋体" w:hAnsi="宋体" w:eastAsia="宋体" w:cs="宋体"/>
                <w:color w:val="000000"/>
                <w:kern w:val="0"/>
                <w:sz w:val="20"/>
                <w:szCs w:val="20"/>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default"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default"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widowControl/>
              <w:spacing w:after="180"/>
              <w:jc w:val="center"/>
              <w:rPr>
                <w:rFonts w:hint="eastAsia" w:ascii="Calibri" w:hAnsi="Times New Roman" w:eastAsia="宋体" w:cs="Calibri"/>
                <w:kern w:val="0"/>
                <w:sz w:val="20"/>
                <w:szCs w:val="20"/>
                <w:lang w:val="en-US" w:eastAsia="zh-CN"/>
              </w:rPr>
            </w:pPr>
            <w:r>
              <w:rPr>
                <w:rFonts w:hint="eastAsia" w:ascii="Calibri" w:hAnsi="Times New Roman" w:eastAsia="宋体" w:cs="Calibri"/>
                <w:kern w:val="0"/>
                <w:sz w:val="20"/>
                <w:szCs w:val="20"/>
                <w:lang w:val="en-US" w:eastAsia="zh-CN"/>
              </w:rPr>
              <w:t>0</w:t>
            </w:r>
          </w:p>
        </w:tc>
      </w:tr>
    </w:tbl>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0"/>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rPr>
        <w:t>五、存在的主要问题及改进情况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2023年政务公开工作虽然取得了一定的成绩，但也还存在政策解读形式不够全面、精准等问题，信息公开平台相关栏目和内容分类仍需进一步优化。下一步，我乡将按照关于全面推进政务公开工作的部署要求，做好民政重点领域信息公开，加强政策解读发布，提高依申请公开案件办理质量，强化制度保障，以高质量的信息公开工作促进民政政策落地和服务水平提升。</w:t>
      </w: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0"/>
        <w:rPr>
          <w:rFonts w:hint="eastAsia" w:ascii="黑体" w:hAnsi="黑体" w:eastAsia="黑体" w:cs="黑体"/>
          <w:b/>
          <w:color w:val="333333"/>
          <w:sz w:val="32"/>
          <w:szCs w:val="32"/>
          <w:shd w:val="clear" w:color="auto" w:fill="FFFFFF"/>
          <w:lang w:val="en-US" w:eastAsia="zh-CN"/>
        </w:rPr>
      </w:pPr>
      <w:r>
        <w:rPr>
          <w:rFonts w:hint="eastAsia" w:ascii="黑体" w:hAnsi="黑体" w:eastAsia="黑体" w:cs="黑体"/>
          <w:b/>
          <w:color w:val="333333"/>
          <w:sz w:val="32"/>
          <w:szCs w:val="32"/>
          <w:shd w:val="clear" w:color="auto" w:fill="FFFFFF"/>
          <w:lang w:val="en-US" w:eastAsia="zh-CN"/>
        </w:rPr>
        <w:t>六、其他需要报告的事项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认真贯彻执行国务院办公厅《政府信息公开信息处理费管理办法》和《关于政府信息公开处理费管理有关事项的通知》。2023</w:t>
      </w:r>
      <w:bookmarkStart w:id="0" w:name="_GoBack"/>
      <w:bookmarkEnd w:id="0"/>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年未收取信息处理费。</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Verdana">
    <w:panose1 w:val="020B0604030504040204"/>
    <w:charset w:val="00"/>
    <w:family w:val="auto"/>
    <w:pitch w:val="default"/>
    <w:sig w:usb0="A10006FF" w:usb1="4000205B" w:usb2="0000001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5E919F"/>
    <w:multiLevelType w:val="singleLevel"/>
    <w:tmpl w:val="D25E919F"/>
    <w:lvl w:ilvl="0" w:tentative="0">
      <w:start w:val="1"/>
      <w:numFmt w:val="chineseCounting"/>
      <w:suff w:val="nothing"/>
      <w:lvlText w:val="%1、"/>
      <w:lvlJc w:val="left"/>
      <w:rPr>
        <w:rFonts w:hint="eastAsia"/>
      </w:rPr>
    </w:lvl>
  </w:abstractNum>
  <w:abstractNum w:abstractNumId="1">
    <w:nsid w:val="4559AB38"/>
    <w:multiLevelType w:val="singleLevel"/>
    <w:tmpl w:val="4559AB38"/>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2OWY2YjE3MjEzN2I5NDNmMGZhODQ4YzM2M2UxNGUifQ=="/>
  </w:docVars>
  <w:rsids>
    <w:rsidRoot w:val="3E5B229F"/>
    <w:rsid w:val="010F6B7F"/>
    <w:rsid w:val="08760957"/>
    <w:rsid w:val="08BB280E"/>
    <w:rsid w:val="0D690A8B"/>
    <w:rsid w:val="14E8498B"/>
    <w:rsid w:val="16734728"/>
    <w:rsid w:val="1B8B42C2"/>
    <w:rsid w:val="20934D6D"/>
    <w:rsid w:val="29C102B1"/>
    <w:rsid w:val="2EBD433B"/>
    <w:rsid w:val="302857C1"/>
    <w:rsid w:val="327D62BB"/>
    <w:rsid w:val="3D3F4B88"/>
    <w:rsid w:val="3E5B229F"/>
    <w:rsid w:val="423A5F76"/>
    <w:rsid w:val="49FE3D2D"/>
    <w:rsid w:val="4A8359FD"/>
    <w:rsid w:val="5AC66625"/>
    <w:rsid w:val="5B1E5FDD"/>
    <w:rsid w:val="5B4D080B"/>
    <w:rsid w:val="5F824661"/>
    <w:rsid w:val="61F47A98"/>
    <w:rsid w:val="65F55B8D"/>
    <w:rsid w:val="6D1C7EA3"/>
    <w:rsid w:val="70AC59E2"/>
    <w:rsid w:val="718B55F7"/>
    <w:rsid w:val="72826491"/>
    <w:rsid w:val="731C29AB"/>
    <w:rsid w:val="7EF3459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Administrator</cp:lastModifiedBy>
  <cp:lastPrinted>2019-12-29T11:40:00Z</cp:lastPrinted>
  <dcterms:modified xsi:type="dcterms:W3CDTF">2024-01-28T03:16:04Z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7AB0C7FA39E44BCFB895A18EA54B37CD_13</vt:lpwstr>
  </property>
</Properties>
</file>