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hd w:val="clear" w:color="auto" w:fill="FFFFFF"/>
        <w:spacing w:before="0" w:beforeAutospacing="0" w:after="0" w:afterAutospacing="0"/>
        <w:jc w:val="center"/>
        <w:rPr>
          <w:rFonts w:hint="eastAsia"/>
          <w:color w:val="333333"/>
        </w:rPr>
      </w:pPr>
      <w:r>
        <w:rPr>
          <w:rFonts w:hint="eastAsia"/>
          <w:b/>
          <w:color w:val="333333"/>
          <w:sz w:val="36"/>
          <w:szCs w:val="36"/>
          <w:shd w:val="clear" w:color="auto" w:fill="FFFFFF"/>
          <w:lang w:val="en-US" w:eastAsia="zh-CN"/>
        </w:rPr>
        <w:t>走马驿镇</w:t>
      </w:r>
      <w:r>
        <w:rPr>
          <w:rFonts w:hint="eastAsia"/>
          <w:b/>
          <w:color w:val="333333"/>
          <w:sz w:val="36"/>
          <w:szCs w:val="36"/>
          <w:shd w:val="clear" w:color="auto" w:fill="FFFFFF"/>
          <w:lang w:eastAsia="zh-CN"/>
        </w:rPr>
        <w:t>人民政府</w:t>
      </w:r>
      <w:r>
        <w:rPr>
          <w:rFonts w:hint="eastAsia"/>
          <w:b/>
          <w:color w:val="333333"/>
          <w:sz w:val="36"/>
          <w:szCs w:val="36"/>
          <w:shd w:val="clear" w:color="auto" w:fill="FFFFFF"/>
        </w:rPr>
        <w:t>信息公开工作年度报告</w:t>
      </w:r>
    </w:p>
    <w:p>
      <w:pPr>
        <w:pStyle w:val="2"/>
        <w:shd w:val="clear" w:color="auto" w:fill="FFFFFF"/>
        <w:spacing w:before="0" w:beforeAutospacing="0" w:after="0" w:afterAutospacing="0"/>
        <w:ind w:firstLine="420"/>
        <w:jc w:val="both"/>
        <w:outlineLvl w:val="0"/>
        <w:rPr>
          <w:rFonts w:hint="eastAsia"/>
          <w:color w:val="333333"/>
          <w:shd w:val="clear" w:color="auto" w:fill="FFFFFF"/>
        </w:rPr>
      </w:pPr>
      <w:r>
        <w:rPr>
          <w:rFonts w:hint="eastAsia"/>
          <w:color w:val="333333"/>
          <w:shd w:val="clear" w:color="auto" w:fill="FFFFFF"/>
        </w:rPr>
        <w:t>2022年，</w:t>
      </w:r>
      <w:r>
        <w:rPr>
          <w:rFonts w:hint="eastAsia"/>
          <w:color w:val="333333"/>
          <w:shd w:val="clear" w:color="auto" w:fill="FFFFFF"/>
          <w:lang w:eastAsia="zh-CN"/>
        </w:rPr>
        <w:t>走马驿镇</w:t>
      </w:r>
      <w:r>
        <w:rPr>
          <w:rFonts w:hint="eastAsia"/>
          <w:color w:val="333333"/>
          <w:shd w:val="clear" w:color="auto" w:fill="FFFFFF"/>
        </w:rPr>
        <w:t>人民政府坚持以习近平新时代中国特色社会主义思想为指引，深入学习党的二十大和和习近平总书记对河北工作的重要指示批示精神，全面贯彻落实</w:t>
      </w:r>
      <w:r>
        <w:rPr>
          <w:rFonts w:hint="eastAsia"/>
          <w:color w:val="333333"/>
          <w:shd w:val="clear" w:color="auto" w:fill="FFFFFF"/>
          <w:lang w:eastAsia="zh-CN"/>
        </w:rPr>
        <w:t>县</w:t>
      </w:r>
      <w:r>
        <w:rPr>
          <w:rFonts w:hint="eastAsia"/>
          <w:color w:val="333333"/>
          <w:shd w:val="clear" w:color="auto" w:fill="FFFFFF"/>
        </w:rPr>
        <w:t>委、</w:t>
      </w:r>
      <w:r>
        <w:rPr>
          <w:rFonts w:hint="eastAsia"/>
          <w:color w:val="333333"/>
          <w:shd w:val="clear" w:color="auto" w:fill="FFFFFF"/>
          <w:lang w:eastAsia="zh-CN"/>
        </w:rPr>
        <w:t>县</w:t>
      </w:r>
      <w:r>
        <w:rPr>
          <w:rFonts w:hint="eastAsia"/>
          <w:color w:val="333333"/>
          <w:shd w:val="clear" w:color="auto" w:fill="FFFFFF"/>
        </w:rPr>
        <w:t>政府工作部署，坚持以人民为中心的思想，深化信息公开工作，严格执行《中华人民共和国政府信息公开条例》和有关政府信息公开的要求，编写了2022年政府信息公开工作年度报告。本年度报告中所列数据的统计期限自2022年1月1日起至2022年12月31日止。</w:t>
      </w:r>
    </w:p>
    <w:p>
      <w:pPr>
        <w:pStyle w:val="2"/>
        <w:shd w:val="clear" w:color="auto" w:fill="FFFFFF"/>
        <w:spacing w:before="0" w:beforeAutospacing="0" w:after="0" w:afterAutospacing="0"/>
        <w:ind w:firstLine="420"/>
        <w:jc w:val="both"/>
        <w:rPr>
          <w:rFonts w:hint="eastAsia"/>
          <w:color w:val="333333"/>
        </w:rPr>
      </w:pPr>
      <w:r>
        <w:rPr>
          <w:rFonts w:hint="eastAsia"/>
          <w:b/>
          <w:color w:val="333333"/>
          <w:shd w:val="clear" w:color="auto" w:fill="FFFFFF"/>
        </w:rPr>
        <w:t>一、总体情况</w:t>
      </w:r>
    </w:p>
    <w:p>
      <w:pPr>
        <w:pStyle w:val="2"/>
        <w:shd w:val="clear" w:color="auto" w:fill="FFFFFF"/>
        <w:spacing w:before="0" w:beforeAutospacing="0" w:after="0" w:afterAutospacing="0"/>
        <w:ind w:firstLine="420"/>
        <w:jc w:val="both"/>
        <w:outlineLvl w:val="0"/>
        <w:rPr>
          <w:rFonts w:hint="eastAsia"/>
          <w:color w:val="333333"/>
          <w:shd w:val="clear" w:color="auto" w:fill="FFFFFF"/>
        </w:rPr>
      </w:pPr>
      <w:r>
        <w:rPr>
          <w:rFonts w:hint="eastAsia"/>
          <w:color w:val="333333"/>
          <w:shd w:val="clear" w:color="auto" w:fill="FFFFFF"/>
        </w:rPr>
        <w:t>1</w:t>
      </w:r>
      <w:r>
        <w:rPr>
          <w:rFonts w:hint="eastAsia"/>
          <w:color w:val="333333"/>
          <w:shd w:val="clear" w:color="auto" w:fill="FFFFFF"/>
          <w:lang w:val="en-US" w:eastAsia="zh-CN"/>
        </w:rPr>
        <w:t>.</w:t>
      </w:r>
      <w:r>
        <w:rPr>
          <w:rFonts w:hint="eastAsia"/>
          <w:color w:val="333333"/>
          <w:shd w:val="clear" w:color="auto" w:fill="FFFFFF"/>
        </w:rPr>
        <w:t>加强领导，强化组织协调</w:t>
      </w:r>
    </w:p>
    <w:p>
      <w:pPr>
        <w:pStyle w:val="2"/>
        <w:shd w:val="clear" w:color="auto" w:fill="FFFFFF"/>
        <w:spacing w:before="0" w:beforeAutospacing="0" w:after="0" w:afterAutospacing="0"/>
        <w:ind w:firstLine="420"/>
        <w:jc w:val="both"/>
        <w:outlineLvl w:val="0"/>
        <w:rPr>
          <w:rFonts w:hint="eastAsia"/>
          <w:color w:val="333333"/>
          <w:shd w:val="clear" w:color="auto" w:fill="FFFFFF"/>
        </w:rPr>
      </w:pPr>
      <w:r>
        <w:rPr>
          <w:rFonts w:hint="eastAsia"/>
          <w:color w:val="333333"/>
          <w:shd w:val="clear" w:color="auto" w:fill="FFFFFF"/>
        </w:rPr>
        <w:t>把政府信息公开工作列入重要议事日程，成立了由政府</w:t>
      </w:r>
      <w:r>
        <w:rPr>
          <w:rFonts w:hint="eastAsia"/>
          <w:color w:val="333333"/>
          <w:shd w:val="clear" w:color="auto" w:fill="FFFFFF"/>
          <w:lang w:eastAsia="zh-CN"/>
        </w:rPr>
        <w:t>主要领导</w:t>
      </w:r>
      <w:r>
        <w:rPr>
          <w:rFonts w:hint="eastAsia"/>
          <w:color w:val="333333"/>
          <w:shd w:val="clear" w:color="auto" w:fill="FFFFFF"/>
        </w:rPr>
        <w:t>任组长的领导小组，明确副职分管，增设信息员专门负责，推动此项工作顺利开展。</w:t>
      </w:r>
    </w:p>
    <w:p>
      <w:pPr>
        <w:pStyle w:val="2"/>
        <w:shd w:val="clear" w:color="auto" w:fill="FFFFFF"/>
        <w:spacing w:before="0" w:beforeAutospacing="0" w:after="0" w:afterAutospacing="0"/>
        <w:ind w:firstLine="420"/>
        <w:jc w:val="both"/>
        <w:outlineLvl w:val="0"/>
        <w:rPr>
          <w:rFonts w:hint="eastAsia"/>
          <w:color w:val="333333"/>
          <w:shd w:val="clear" w:color="auto" w:fill="FFFFFF"/>
        </w:rPr>
      </w:pPr>
      <w:r>
        <w:rPr>
          <w:rFonts w:hint="eastAsia"/>
          <w:color w:val="333333"/>
          <w:shd w:val="clear" w:color="auto" w:fill="FFFFFF"/>
        </w:rPr>
        <w:t>2</w:t>
      </w:r>
      <w:r>
        <w:rPr>
          <w:rFonts w:hint="eastAsia"/>
          <w:color w:val="333333"/>
          <w:shd w:val="clear" w:color="auto" w:fill="FFFFFF"/>
          <w:lang w:val="en-US" w:eastAsia="zh-CN"/>
        </w:rPr>
        <w:t>.</w:t>
      </w:r>
      <w:r>
        <w:rPr>
          <w:rFonts w:hint="eastAsia"/>
          <w:color w:val="333333"/>
          <w:shd w:val="clear" w:color="auto" w:fill="FFFFFF"/>
        </w:rPr>
        <w:t>严抓落实，提高公开效率</w:t>
      </w:r>
    </w:p>
    <w:p>
      <w:pPr>
        <w:pStyle w:val="2"/>
        <w:shd w:val="clear" w:color="auto" w:fill="FFFFFF"/>
        <w:spacing w:before="0" w:beforeAutospacing="0" w:after="0" w:afterAutospacing="0"/>
        <w:ind w:firstLine="420"/>
        <w:jc w:val="both"/>
        <w:outlineLvl w:val="0"/>
        <w:rPr>
          <w:rFonts w:hint="eastAsia"/>
          <w:color w:val="333333"/>
          <w:shd w:val="clear" w:color="auto" w:fill="FFFFFF"/>
        </w:rPr>
      </w:pPr>
      <w:r>
        <w:rPr>
          <w:rFonts w:hint="eastAsia"/>
          <w:color w:val="333333"/>
          <w:shd w:val="clear" w:color="auto" w:fill="FFFFFF"/>
        </w:rPr>
        <w:t>对领导分工、涉及人民群众切实利益的重大事项、工作动态等信息进行公开，全年未发生针对政府信息公开事务的行政复议申请、申诉和行政诉讼案件</w:t>
      </w:r>
      <w:r>
        <w:rPr>
          <w:rFonts w:hint="eastAsia"/>
          <w:color w:val="333333"/>
          <w:shd w:val="clear" w:color="auto" w:fill="FFFFFF"/>
          <w:lang w:eastAsia="zh-CN"/>
        </w:rPr>
        <w:t>。</w:t>
      </w:r>
    </w:p>
    <w:p>
      <w:pPr>
        <w:pStyle w:val="2"/>
        <w:shd w:val="clear" w:color="auto" w:fill="FFFFFF"/>
        <w:spacing w:before="0" w:beforeAutospacing="0" w:after="0" w:afterAutospacing="0"/>
        <w:ind w:firstLine="420"/>
        <w:jc w:val="both"/>
        <w:outlineLvl w:val="0"/>
        <w:rPr>
          <w:rFonts w:hint="eastAsia"/>
          <w:color w:val="333333"/>
          <w:shd w:val="clear" w:color="auto" w:fill="FFFFFF"/>
        </w:rPr>
      </w:pPr>
      <w:r>
        <w:rPr>
          <w:rFonts w:hint="eastAsia"/>
          <w:color w:val="333333"/>
          <w:shd w:val="clear" w:color="auto" w:fill="FFFFFF"/>
          <w:lang w:val="en-US" w:eastAsia="zh-CN"/>
        </w:rPr>
        <w:t>3.</w:t>
      </w:r>
      <w:r>
        <w:rPr>
          <w:rFonts w:hint="eastAsia"/>
          <w:color w:val="333333"/>
          <w:shd w:val="clear" w:color="auto" w:fill="FFFFFF"/>
        </w:rPr>
        <w:t>丰富载体，公开形式多样</w:t>
      </w:r>
    </w:p>
    <w:p>
      <w:pPr>
        <w:pStyle w:val="2"/>
        <w:shd w:val="clear" w:color="auto" w:fill="FFFFFF"/>
        <w:spacing w:before="0" w:beforeAutospacing="0" w:after="0" w:afterAutospacing="0"/>
        <w:ind w:firstLine="420"/>
        <w:jc w:val="both"/>
        <w:outlineLvl w:val="0"/>
        <w:rPr>
          <w:rFonts w:hint="eastAsia"/>
          <w:color w:val="333333"/>
          <w:shd w:val="clear" w:color="auto" w:fill="FFFFFF"/>
        </w:rPr>
      </w:pPr>
      <w:r>
        <w:rPr>
          <w:rFonts w:hint="eastAsia"/>
          <w:color w:val="333333"/>
          <w:shd w:val="clear" w:color="auto" w:fill="FFFFFF"/>
        </w:rPr>
        <w:t>利用网络、报刊广播等多种形式广泛深入地做好政府信息的公开工作。同时，在</w:t>
      </w:r>
      <w:r>
        <w:rPr>
          <w:rFonts w:hint="eastAsia"/>
          <w:color w:val="333333"/>
          <w:shd w:val="clear" w:color="auto" w:fill="FFFFFF"/>
          <w:lang w:eastAsia="zh-CN"/>
        </w:rPr>
        <w:t>镇</w:t>
      </w:r>
      <w:r>
        <w:rPr>
          <w:rFonts w:hint="eastAsia"/>
          <w:color w:val="333333"/>
          <w:shd w:val="clear" w:color="auto" w:fill="FFFFFF"/>
        </w:rPr>
        <w:t>政府显著位置设立公开栏，详细公开工作任务、办事流程、服务承诺等。</w:t>
      </w:r>
    </w:p>
    <w:p>
      <w:pPr>
        <w:pStyle w:val="2"/>
        <w:shd w:val="clear" w:color="auto" w:fill="FFFFFF"/>
        <w:spacing w:before="0" w:beforeAutospacing="0" w:after="0" w:afterAutospacing="0"/>
        <w:ind w:firstLine="420"/>
        <w:jc w:val="both"/>
        <w:outlineLvl w:val="0"/>
        <w:rPr>
          <w:rFonts w:hint="eastAsia"/>
          <w:color w:val="333333"/>
        </w:rPr>
      </w:pPr>
      <w:r>
        <w:rPr>
          <w:rFonts w:hint="eastAsia"/>
          <w:b/>
          <w:color w:val="333333"/>
          <w:shd w:val="clear" w:color="auto" w:fill="FFFFFF"/>
        </w:rPr>
        <w:t>二、主动公开政府信息情况</w:t>
      </w:r>
    </w:p>
    <w:tbl>
      <w:tblPr>
        <w:tblStyle w:val="3"/>
        <w:tblW w:w="0" w:type="auto"/>
        <w:jc w:val="center"/>
        <w:tblLayout w:type="fixed"/>
        <w:tblCellMar>
          <w:top w:w="0" w:type="dxa"/>
          <w:left w:w="0" w:type="dxa"/>
          <w:bottom w:w="0" w:type="dxa"/>
          <w:right w:w="0" w:type="dxa"/>
        </w:tblCellMar>
      </w:tblPr>
      <w:tblGrid>
        <w:gridCol w:w="3113"/>
        <w:gridCol w:w="1875"/>
        <w:gridCol w:w="6"/>
        <w:gridCol w:w="1265"/>
        <w:gridCol w:w="1881"/>
      </w:tblGrid>
      <w:tr>
        <w:tblPrEx>
          <w:tblCellMar>
            <w:top w:w="0" w:type="dxa"/>
            <w:left w:w="0" w:type="dxa"/>
            <w:bottom w:w="0" w:type="dxa"/>
            <w:right w:w="0" w:type="dxa"/>
          </w:tblCellMar>
        </w:tblPrEx>
        <w:trPr>
          <w:trHeight w:val="495" w:hRule="atLeast"/>
          <w:jc w:val="center"/>
        </w:trPr>
        <w:tc>
          <w:tcPr>
            <w:tcW w:w="8140" w:type="dxa"/>
            <w:gridSpan w:val="5"/>
            <w:tcBorders>
              <w:top w:val="single" w:color="auto" w:sz="8" w:space="0"/>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第二十条第（一）项</w:t>
            </w:r>
          </w:p>
        </w:tc>
      </w:tr>
      <w:tr>
        <w:tblPrEx>
          <w:tblCellMar>
            <w:top w:w="0" w:type="dxa"/>
            <w:left w:w="0" w:type="dxa"/>
            <w:bottom w:w="0" w:type="dxa"/>
            <w:right w:w="0" w:type="dxa"/>
          </w:tblCellMar>
        </w:tblPrEx>
        <w:trPr>
          <w:trHeight w:val="527"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7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本年新</w:t>
            </w:r>
            <w:r>
              <w:rPr>
                <w:rFonts w:hint="eastAsia" w:ascii="宋体" w:hAnsi="宋体" w:eastAsia="宋体" w:cs="宋体"/>
                <w:color w:val="000000"/>
                <w:kern w:val="0"/>
                <w:sz w:val="20"/>
                <w:szCs w:val="20"/>
              </w:rPr>
              <w:br w:type="textWrapping"/>
            </w:r>
            <w:r>
              <w:rPr>
                <w:rFonts w:ascii="宋体" w:hAnsi="宋体" w:eastAsia="宋体" w:cs="宋体"/>
                <w:kern w:val="0"/>
                <w:sz w:val="20"/>
                <w:szCs w:val="20"/>
              </w:rPr>
              <w:t>制作数量</w:t>
            </w:r>
          </w:p>
        </w:tc>
        <w:tc>
          <w:tcPr>
            <w:tcW w:w="1271" w:type="dxa"/>
            <w:gridSpan w:val="2"/>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本年新</w:t>
            </w:r>
            <w:r>
              <w:rPr>
                <w:rFonts w:hint="eastAsia" w:ascii="宋体" w:hAnsi="宋体" w:eastAsia="宋体" w:cs="宋体"/>
                <w:color w:val="000000"/>
                <w:kern w:val="0"/>
                <w:sz w:val="20"/>
                <w:szCs w:val="20"/>
              </w:rPr>
              <w:br w:type="textWrapping"/>
            </w:r>
            <w:r>
              <w:rPr>
                <w:rFonts w:ascii="宋体" w:hAnsi="宋体" w:eastAsia="宋体" w:cs="宋体"/>
                <w:kern w:val="0"/>
                <w:sz w:val="20"/>
                <w:szCs w:val="20"/>
              </w:rPr>
              <w:t>公开数量</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对外公开总数量</w:t>
            </w:r>
          </w:p>
        </w:tc>
      </w:tr>
      <w:tr>
        <w:tblPrEx>
          <w:tblCellMar>
            <w:top w:w="0" w:type="dxa"/>
            <w:left w:w="0" w:type="dxa"/>
            <w:bottom w:w="0" w:type="dxa"/>
            <w:right w:w="0" w:type="dxa"/>
          </w:tblCellMar>
        </w:tblPrEx>
        <w:trPr>
          <w:trHeight w:val="413"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规章</w:t>
            </w:r>
          </w:p>
        </w:tc>
        <w:tc>
          <w:tcPr>
            <w:tcW w:w="187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eastAsia="宋体"/>
                <w:lang w:val="en-US" w:eastAsia="zh-CN"/>
              </w:rPr>
            </w:pPr>
            <w:r>
              <w:rPr>
                <w:rFonts w:hint="eastAsia" w:eastAsia="宋体"/>
                <w:lang w:val="en-US" w:eastAsia="zh-CN"/>
              </w:rPr>
              <w:t>1</w:t>
            </w:r>
          </w:p>
        </w:tc>
        <w:tc>
          <w:tcPr>
            <w:tcW w:w="127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eastAsia="宋体"/>
                <w:lang w:val="en-US" w:eastAsia="zh-CN"/>
              </w:rPr>
            </w:pPr>
            <w:r>
              <w:rPr>
                <w:rFonts w:hint="eastAsia" w:eastAsia="宋体"/>
                <w:lang w:val="en-US" w:eastAsia="zh-CN"/>
              </w:rPr>
              <w:t>1</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eastAsia="宋体"/>
                <w:lang w:val="en-US" w:eastAsia="zh-CN"/>
              </w:rPr>
            </w:pPr>
            <w:r>
              <w:rPr>
                <w:rFonts w:hint="eastAsia" w:eastAsia="宋体"/>
                <w:lang w:val="en-US" w:eastAsia="zh-CN"/>
              </w:rPr>
              <w:t>1</w:t>
            </w:r>
          </w:p>
        </w:tc>
      </w:tr>
      <w:tr>
        <w:tblPrEx>
          <w:tblCellMar>
            <w:top w:w="0" w:type="dxa"/>
            <w:left w:w="0" w:type="dxa"/>
            <w:bottom w:w="0" w:type="dxa"/>
            <w:right w:w="0" w:type="dxa"/>
          </w:tblCellMar>
        </w:tblPrEx>
        <w:trPr>
          <w:trHeight w:val="90"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规范性文件</w:t>
            </w:r>
          </w:p>
        </w:tc>
        <w:tc>
          <w:tcPr>
            <w:tcW w:w="187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eastAsia="宋体"/>
                <w:lang w:val="en-US" w:eastAsia="zh-CN"/>
              </w:rPr>
            </w:pPr>
            <w:r>
              <w:rPr>
                <w:rFonts w:hint="eastAsia" w:eastAsia="宋体"/>
                <w:lang w:val="en-US" w:eastAsia="zh-CN"/>
              </w:rPr>
              <w:t>8</w:t>
            </w:r>
          </w:p>
        </w:tc>
        <w:tc>
          <w:tcPr>
            <w:tcW w:w="127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eastAsia="宋体"/>
                <w:lang w:val="en-US" w:eastAsia="zh-CN"/>
              </w:rPr>
            </w:pPr>
            <w:r>
              <w:rPr>
                <w:rFonts w:hint="eastAsia" w:eastAsia="宋体"/>
                <w:lang w:val="en-US" w:eastAsia="zh-CN"/>
              </w:rPr>
              <w:t>8</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eastAsia="宋体"/>
                <w:lang w:val="en-US" w:eastAsia="zh-CN"/>
              </w:rPr>
            </w:pPr>
            <w:r>
              <w:rPr>
                <w:rFonts w:hint="eastAsia" w:eastAsia="宋体"/>
                <w:lang w:val="en-US" w:eastAsia="zh-CN"/>
              </w:rPr>
              <w:t>8</w:t>
            </w:r>
          </w:p>
        </w:tc>
      </w:tr>
      <w:tr>
        <w:tblPrEx>
          <w:tblCellMar>
            <w:top w:w="0" w:type="dxa"/>
            <w:left w:w="0" w:type="dxa"/>
            <w:bottom w:w="0" w:type="dxa"/>
            <w:right w:w="0" w:type="dxa"/>
          </w:tblCellMar>
        </w:tblPrEx>
        <w:trPr>
          <w:trHeight w:val="480"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第二十条第（五）项</w:t>
            </w:r>
          </w:p>
        </w:tc>
      </w:tr>
      <w:tr>
        <w:tblPrEx>
          <w:tblCellMar>
            <w:top w:w="0" w:type="dxa"/>
            <w:left w:w="0" w:type="dxa"/>
            <w:bottom w:w="0" w:type="dxa"/>
            <w:right w:w="0" w:type="dxa"/>
          </w:tblCellMar>
        </w:tblPrEx>
        <w:trPr>
          <w:trHeight w:val="634"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7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上一年项目数量</w:t>
            </w:r>
          </w:p>
        </w:tc>
        <w:tc>
          <w:tcPr>
            <w:tcW w:w="1271" w:type="dxa"/>
            <w:gridSpan w:val="2"/>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本年增/减</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处理决定数量</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行政许可</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ascii="仿宋_GB2312" w:hAnsi="Times New Roman" w:eastAsia="宋体" w:cs="Times New Roman"/>
                <w:kern w:val="2"/>
                <w:sz w:val="32"/>
                <w:szCs w:val="24"/>
                <w:lang w:val="en-US" w:eastAsia="zh-CN" w:bidi="ar-SA"/>
              </w:rPr>
            </w:pPr>
            <w:r>
              <w:rPr>
                <w:rFonts w:hint="eastAsia" w:eastAsia="宋体"/>
                <w:lang w:val="en-US" w:eastAsia="zh-CN"/>
              </w:rPr>
              <w:t>0</w:t>
            </w:r>
          </w:p>
        </w:tc>
        <w:tc>
          <w:tcPr>
            <w:tcW w:w="126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ascii="仿宋_GB2312" w:hAnsi="Times New Roman" w:eastAsia="宋体" w:cs="Times New Roman"/>
                <w:kern w:val="2"/>
                <w:sz w:val="32"/>
                <w:szCs w:val="24"/>
                <w:lang w:val="en-US" w:eastAsia="zh-CN" w:bidi="ar-SA"/>
              </w:rPr>
            </w:pPr>
            <w:r>
              <w:rPr>
                <w:rFonts w:hint="eastAsia" w:eastAsia="宋体"/>
                <w:lang w:val="en-US" w:eastAsia="zh-CN"/>
              </w:rPr>
              <w:t>0</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ascii="仿宋_GB2312" w:hAnsi="Times New Roman" w:eastAsia="宋体" w:cs="Times New Roman"/>
                <w:kern w:val="2"/>
                <w:sz w:val="32"/>
                <w:szCs w:val="24"/>
                <w:lang w:val="en-US" w:eastAsia="zh-CN" w:bidi="ar-SA"/>
              </w:rPr>
            </w:pPr>
            <w:r>
              <w:rPr>
                <w:rFonts w:hint="eastAsia" w:eastAsia="宋体"/>
                <w:lang w:val="en-US" w:eastAsia="zh-CN"/>
              </w:rPr>
              <w:t>0</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其他对外管理服务事项</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宋体" w:cs="Times New Roman"/>
                <w:kern w:val="2"/>
                <w:sz w:val="32"/>
                <w:szCs w:val="24"/>
                <w:lang w:val="en-US" w:eastAsia="zh-CN" w:bidi="ar-SA"/>
              </w:rPr>
            </w:pPr>
          </w:p>
        </w:tc>
        <w:tc>
          <w:tcPr>
            <w:tcW w:w="126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宋体" w:cs="Times New Roman"/>
                <w:kern w:val="2"/>
                <w:sz w:val="32"/>
                <w:szCs w:val="24"/>
                <w:lang w:val="en-US" w:eastAsia="zh-CN" w:bidi="ar-SA"/>
              </w:rPr>
            </w:pPr>
            <w:r>
              <w:rPr>
                <w:rFonts w:hint="eastAsia" w:eastAsia="宋体"/>
                <w:lang w:val="en-US" w:eastAsia="zh-CN"/>
              </w:rPr>
              <w:t>0</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宋体" w:cs="Times New Roman"/>
                <w:kern w:val="2"/>
                <w:sz w:val="32"/>
                <w:szCs w:val="24"/>
                <w:lang w:val="en-US" w:eastAsia="zh-CN" w:bidi="ar-SA"/>
              </w:rPr>
            </w:pPr>
            <w:r>
              <w:rPr>
                <w:rFonts w:hint="eastAsia" w:eastAsia="宋体"/>
                <w:lang w:val="en-US" w:eastAsia="zh-CN"/>
              </w:rPr>
              <w:t>0</w:t>
            </w:r>
          </w:p>
        </w:tc>
      </w:tr>
      <w:tr>
        <w:tblPrEx>
          <w:tblCellMar>
            <w:top w:w="0" w:type="dxa"/>
            <w:left w:w="0" w:type="dxa"/>
            <w:bottom w:w="0" w:type="dxa"/>
            <w:right w:w="0" w:type="dxa"/>
          </w:tblCellMar>
        </w:tblPrEx>
        <w:trPr>
          <w:trHeight w:val="406"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第二十条第（六）项</w:t>
            </w:r>
          </w:p>
        </w:tc>
      </w:tr>
      <w:tr>
        <w:tblPrEx>
          <w:tblCellMar>
            <w:top w:w="0" w:type="dxa"/>
            <w:left w:w="0" w:type="dxa"/>
            <w:bottom w:w="0" w:type="dxa"/>
            <w:right w:w="0" w:type="dxa"/>
          </w:tblCellMar>
        </w:tblPrEx>
        <w:trPr>
          <w:trHeight w:val="634"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7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上一年项目数量</w:t>
            </w:r>
          </w:p>
        </w:tc>
        <w:tc>
          <w:tcPr>
            <w:tcW w:w="1271" w:type="dxa"/>
            <w:gridSpan w:val="2"/>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本年增/减</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处理决定数量</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行政处罚</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eastAsia="宋体"/>
                <w:lang w:val="en-US" w:eastAsia="zh-CN"/>
              </w:rPr>
              <w:t>4</w:t>
            </w:r>
          </w:p>
        </w:tc>
        <w:tc>
          <w:tcPr>
            <w:tcW w:w="126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eastAsia="宋体"/>
                <w:lang w:val="en-US" w:eastAsia="zh-CN"/>
              </w:rPr>
              <w:t>0</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eastAsia="宋体"/>
                <w:lang w:val="en-US" w:eastAsia="zh-CN"/>
              </w:rPr>
              <w:t>4</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行政强制</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eastAsia="宋体"/>
                <w:lang w:val="en-US" w:eastAsia="zh-CN"/>
              </w:rPr>
              <w:t>0</w:t>
            </w:r>
          </w:p>
        </w:tc>
        <w:tc>
          <w:tcPr>
            <w:tcW w:w="126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eastAsia="宋体"/>
                <w:lang w:val="en-US" w:eastAsia="zh-CN"/>
              </w:rPr>
              <w:t>0</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eastAsia="宋体"/>
                <w:lang w:val="en-US" w:eastAsia="zh-CN"/>
              </w:rPr>
              <w:t>0</w:t>
            </w:r>
          </w:p>
        </w:tc>
      </w:tr>
      <w:tr>
        <w:tblPrEx>
          <w:tblCellMar>
            <w:top w:w="0" w:type="dxa"/>
            <w:left w:w="0" w:type="dxa"/>
            <w:bottom w:w="0" w:type="dxa"/>
            <w:right w:w="0" w:type="dxa"/>
          </w:tblCellMar>
        </w:tblPrEx>
        <w:trPr>
          <w:trHeight w:val="474"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第二十条第（八）项</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上一年项目数量</w:t>
            </w:r>
          </w:p>
        </w:tc>
        <w:tc>
          <w:tcPr>
            <w:tcW w:w="3146" w:type="dxa"/>
            <w:gridSpan w:val="2"/>
            <w:tcBorders>
              <w:top w:val="single" w:color="auto" w:sz="8" w:space="0"/>
              <w:left w:val="nil"/>
              <w:bottom w:val="single" w:color="auto" w:sz="8" w:space="0"/>
              <w:right w:val="single" w:color="000000"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本年增/减</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行政事业性收费</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eastAsia="宋体"/>
                <w:lang w:val="en-US" w:eastAsia="zh-CN"/>
              </w:rPr>
              <w:t>2</w:t>
            </w:r>
          </w:p>
        </w:tc>
        <w:tc>
          <w:tcPr>
            <w:tcW w:w="3146" w:type="dxa"/>
            <w:gridSpan w:val="2"/>
            <w:tcBorders>
              <w:top w:val="nil"/>
              <w:left w:val="nil"/>
              <w:bottom w:val="single" w:color="auto" w:sz="8" w:space="0"/>
              <w:right w:val="single" w:color="000000"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eastAsia="宋体"/>
                <w:lang w:val="en-US" w:eastAsia="zh-CN"/>
              </w:rPr>
              <w:t>0</w:t>
            </w:r>
          </w:p>
        </w:tc>
      </w:tr>
      <w:tr>
        <w:tblPrEx>
          <w:tblCellMar>
            <w:top w:w="0" w:type="dxa"/>
            <w:left w:w="0" w:type="dxa"/>
            <w:bottom w:w="0" w:type="dxa"/>
            <w:right w:w="0" w:type="dxa"/>
          </w:tblCellMar>
        </w:tblPrEx>
        <w:trPr>
          <w:trHeight w:val="476"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第二十条第（九）项</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采购项目数量</w:t>
            </w:r>
          </w:p>
        </w:tc>
        <w:tc>
          <w:tcPr>
            <w:tcW w:w="3146" w:type="dxa"/>
            <w:gridSpan w:val="2"/>
            <w:tcBorders>
              <w:top w:val="single" w:color="auto" w:sz="8" w:space="0"/>
              <w:left w:val="nil"/>
              <w:bottom w:val="single" w:color="auto" w:sz="8" w:space="0"/>
              <w:right w:val="single" w:color="000000"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采购总金额</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政府集中采购</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eastAsia="宋体"/>
                <w:lang w:val="en-US" w:eastAsia="zh-CN"/>
              </w:rPr>
              <w:t>0</w:t>
            </w:r>
          </w:p>
        </w:tc>
        <w:tc>
          <w:tcPr>
            <w:tcW w:w="3146" w:type="dxa"/>
            <w:gridSpan w:val="2"/>
            <w:tcBorders>
              <w:top w:val="nil"/>
              <w:left w:val="nil"/>
              <w:bottom w:val="single" w:color="auto" w:sz="8" w:space="0"/>
              <w:right w:val="single" w:color="000000"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eastAsia="宋体"/>
                <w:lang w:val="en-US" w:eastAsia="zh-CN"/>
              </w:rPr>
              <w:t>0</w:t>
            </w:r>
          </w:p>
        </w:tc>
      </w:tr>
    </w:tbl>
    <w:p>
      <w:pPr>
        <w:pStyle w:val="2"/>
        <w:shd w:val="clear" w:color="auto" w:fill="FFFFFF"/>
        <w:spacing w:before="0" w:beforeAutospacing="0" w:after="0" w:afterAutospacing="0"/>
        <w:ind w:firstLine="420"/>
        <w:jc w:val="both"/>
        <w:rPr>
          <w:rFonts w:hint="eastAsia"/>
          <w:color w:val="333333"/>
        </w:rPr>
      </w:pPr>
    </w:p>
    <w:p>
      <w:pPr>
        <w:pStyle w:val="2"/>
        <w:shd w:val="clear" w:color="auto" w:fill="FFFFFF"/>
        <w:spacing w:before="0" w:beforeAutospacing="0" w:after="240" w:afterAutospacing="0"/>
        <w:ind w:firstLine="420"/>
        <w:jc w:val="both"/>
        <w:outlineLvl w:val="0"/>
        <w:rPr>
          <w:rFonts w:hint="eastAsia"/>
          <w:color w:val="333333"/>
        </w:rPr>
      </w:pPr>
      <w:r>
        <w:rPr>
          <w:rFonts w:hint="eastAsia"/>
          <w:b/>
          <w:color w:val="333333"/>
          <w:shd w:val="clear" w:color="auto" w:fill="FFFFFF"/>
        </w:rPr>
        <w:t>三、收到和处理政府信息公开申请情况</w:t>
      </w:r>
    </w:p>
    <w:tbl>
      <w:tblPr>
        <w:tblStyle w:val="3"/>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18"/>
        <w:gridCol w:w="854"/>
        <w:gridCol w:w="2086"/>
        <w:gridCol w:w="814"/>
        <w:gridCol w:w="755"/>
        <w:gridCol w:w="755"/>
        <w:gridCol w:w="814"/>
        <w:gridCol w:w="974"/>
        <w:gridCol w:w="712"/>
        <w:gridCol w:w="68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（本列数据的勾稽关系为：第一项加第二项之和，等于第三项加第四项之和）</w:t>
            </w:r>
          </w:p>
        </w:tc>
        <w:tc>
          <w:tcPr>
            <w:tcW w:w="5513" w:type="dxa"/>
            <w:gridSpan w:val="7"/>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申请人情况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sz w:val="24"/>
              </w:rPr>
            </w:pPr>
          </w:p>
        </w:tc>
        <w:tc>
          <w:tcPr>
            <w:tcW w:w="814"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自然人</w:t>
            </w:r>
          </w:p>
        </w:tc>
        <w:tc>
          <w:tcPr>
            <w:tcW w:w="4010" w:type="dxa"/>
            <w:gridSpan w:val="5"/>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法人或其他组织</w:t>
            </w:r>
          </w:p>
        </w:tc>
        <w:tc>
          <w:tcPr>
            <w:tcW w:w="689"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sz w:val="24"/>
              </w:rPr>
            </w:pPr>
          </w:p>
        </w:tc>
        <w:tc>
          <w:tcPr>
            <w:tcW w:w="814" w:type="dxa"/>
            <w:vMerge w:val="continue"/>
            <w:tcBorders>
              <w:tl2br w:val="nil"/>
              <w:tr2bl w:val="nil"/>
            </w:tcBorders>
            <w:noWrap w:val="0"/>
            <w:tcMar>
              <w:left w:w="108" w:type="dxa"/>
              <w:right w:w="108" w:type="dxa"/>
            </w:tcMar>
            <w:vAlign w:val="center"/>
          </w:tcPr>
          <w:p>
            <w:pPr>
              <w:rPr>
                <w:rFonts w:hint="eastAsia" w:ascii="宋体"/>
                <w:sz w:val="24"/>
              </w:rPr>
            </w:pP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商业企业</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科研机构</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社会公益组织</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法律服务机构</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w:t>
            </w:r>
          </w:p>
        </w:tc>
        <w:tc>
          <w:tcPr>
            <w:tcW w:w="689" w:type="dxa"/>
            <w:vMerge w:val="continue"/>
            <w:tcBorders>
              <w:tl2br w:val="nil"/>
              <w:tr2bl w:val="nil"/>
            </w:tcBorders>
            <w:noWrap w:val="0"/>
            <w:tcMar>
              <w:left w:w="108" w:type="dxa"/>
              <w:right w:w="108" w:type="dxa"/>
            </w:tcMar>
            <w:vAlign w:val="center"/>
          </w:tcPr>
          <w:p>
            <w:pPr>
              <w:rPr>
                <w:rFonts w:hint="eastAsia" w:ascii="宋体"/>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一、本年新收政府信息公开申请数量</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二、上年结转政府信息公开申请数量</w:t>
            </w:r>
          </w:p>
        </w:tc>
        <w:tc>
          <w:tcPr>
            <w:tcW w:w="814"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三、本年度办理结果</w:t>
            </w: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（一）予以公开</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（二）部分公开（区分处理的，只计这一情形，不计其他情形）</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（三）不予公开</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1.属于国家秘密</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2.其他法律行政法规禁止公开</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3.危及“三安全一稳定”</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4.保护第三方合法权益</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5.属于三类内部事务信息</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6.属于四类过程性信息</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7.属于行政执法案卷</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8.属于行政查询事项</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（四）无法提供</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1.本机关不掌握相关政府信息</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2.没有现成信息需要另行制作</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3.补正后申请内容仍不明确</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（五）不予处理</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1.信访举报投诉类申请</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2.重复申请</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3.要求提供公开出版物</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4.无正当理由大量反复申请</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5.要求行政机关确认或重新出具已获取信息</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（六）其他处理</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（七）总计</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四、结转下年度继续办理</w:t>
            </w:r>
          </w:p>
        </w:tc>
        <w:tc>
          <w:tcPr>
            <w:tcW w:w="814"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rPr>
                <w:rFonts w:hint="eastAsia" w:ascii="宋体" w:eastAsia="仿宋_GB2312"/>
                <w:sz w:val="24"/>
                <w:lang w:val="en-US" w:eastAsia="zh-CN"/>
              </w:rPr>
            </w:pPr>
            <w:r>
              <w:rPr>
                <w:rFonts w:hint="eastAsia" w:ascii="宋体"/>
                <w:sz w:val="24"/>
                <w:lang w:val="en-US" w:eastAsia="zh-CN"/>
              </w:rPr>
              <w:t>0</w:t>
            </w:r>
          </w:p>
        </w:tc>
      </w:tr>
    </w:tbl>
    <w:p>
      <w:pPr>
        <w:pStyle w:val="2"/>
        <w:shd w:val="clear" w:color="auto" w:fill="FFFFFF"/>
        <w:spacing w:before="0" w:beforeAutospacing="0" w:after="0" w:afterAutospacing="0"/>
        <w:ind w:firstLine="420"/>
        <w:jc w:val="both"/>
        <w:rPr>
          <w:rFonts w:hint="eastAsia"/>
          <w:color w:val="333333"/>
        </w:rPr>
      </w:pPr>
    </w:p>
    <w:p>
      <w:pPr>
        <w:pStyle w:val="2"/>
        <w:shd w:val="clear" w:color="auto" w:fill="FFFFFF"/>
        <w:spacing w:before="0" w:beforeAutospacing="0" w:after="0" w:afterAutospacing="0"/>
        <w:ind w:firstLine="420"/>
        <w:jc w:val="both"/>
        <w:outlineLvl w:val="0"/>
        <w:rPr>
          <w:rFonts w:hint="eastAsia"/>
          <w:color w:val="333333"/>
        </w:rPr>
      </w:pPr>
      <w:r>
        <w:rPr>
          <w:rFonts w:hint="eastAsia"/>
          <w:b/>
          <w:color w:val="333333"/>
          <w:shd w:val="clear" w:color="auto" w:fill="FFFFFF"/>
        </w:rPr>
        <w:t>四、政府信息公开行政复议、行政诉讼情况</w:t>
      </w:r>
    </w:p>
    <w:p>
      <w:pPr>
        <w:pStyle w:val="2"/>
        <w:shd w:val="clear" w:color="auto" w:fill="FFFFFF"/>
        <w:spacing w:before="0" w:beforeAutospacing="0" w:after="0" w:afterAutospacing="0"/>
        <w:ind w:firstLine="420"/>
        <w:jc w:val="both"/>
        <w:rPr>
          <w:rFonts w:hint="eastAsia"/>
          <w:color w:val="333333"/>
        </w:rPr>
      </w:pPr>
    </w:p>
    <w:tbl>
      <w:tblPr>
        <w:tblStyle w:val="3"/>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74"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行政复议</w:t>
            </w:r>
          </w:p>
        </w:tc>
        <w:tc>
          <w:tcPr>
            <w:tcW w:w="5997" w:type="dxa"/>
            <w:gridSpan w:val="10"/>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restart"/>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4" w:type="dxa"/>
            <w:vMerge w:val="restart"/>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58"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c>
          <w:tcPr>
            <w:tcW w:w="2970"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未经复议直接起诉</w:t>
            </w:r>
          </w:p>
        </w:tc>
        <w:tc>
          <w:tcPr>
            <w:tcW w:w="3027"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604" w:type="dxa"/>
            <w:vMerge w:val="continue"/>
            <w:tcBorders>
              <w:top w:val="nil"/>
              <w:left w:val="single" w:color="auto" w:sz="8" w:space="0"/>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nil"/>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58"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其他结果</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604"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58"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 </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rPr>
                <w:rFonts w:hint="eastAsia" w:ascii="宋体" w:eastAsia="仿宋_GB2312"/>
                <w:sz w:val="24"/>
                <w:lang w:val="en-US" w:eastAsia="zh-CN"/>
              </w:rPr>
            </w:pPr>
            <w:r>
              <w:rPr>
                <w:rFonts w:hint="eastAsia" w:ascii="宋体"/>
                <w:sz w:val="24"/>
                <w:lang w:val="en-US" w:eastAsia="zh-CN"/>
              </w:rPr>
              <w:t>0</w:t>
            </w:r>
          </w:p>
        </w:tc>
      </w:tr>
    </w:tbl>
    <w:p>
      <w:pPr>
        <w:widowControl/>
        <w:shd w:val="clear" w:color="auto" w:fill="FFFFFF"/>
        <w:rPr>
          <w:rFonts w:hint="eastAsia" w:ascii="宋体" w:hAnsi="宋体" w:eastAsia="宋体" w:cs="宋体"/>
          <w:color w:val="333333"/>
          <w:sz w:val="24"/>
        </w:rPr>
      </w:pPr>
    </w:p>
    <w:p>
      <w:pPr>
        <w:pStyle w:val="2"/>
        <w:shd w:val="clear" w:color="auto" w:fill="FFFFFF"/>
        <w:spacing w:before="0" w:beforeAutospacing="0" w:after="0" w:afterAutospacing="0"/>
        <w:ind w:firstLine="420"/>
        <w:jc w:val="both"/>
        <w:outlineLvl w:val="0"/>
        <w:rPr>
          <w:rFonts w:hint="eastAsia"/>
          <w:color w:val="333333"/>
        </w:rPr>
      </w:pPr>
      <w:r>
        <w:rPr>
          <w:rFonts w:hint="eastAsia"/>
          <w:b/>
          <w:color w:val="333333"/>
          <w:shd w:val="clear" w:color="auto" w:fill="FFFFFF"/>
        </w:rPr>
        <w:t>五、存在的主要问题及改进情况</w:t>
      </w:r>
    </w:p>
    <w:p>
      <w:pPr>
        <w:pStyle w:val="2"/>
        <w:shd w:val="clear" w:color="auto" w:fill="FFFFFF"/>
        <w:spacing w:before="0" w:beforeAutospacing="0" w:after="0" w:afterAutospacing="0"/>
        <w:ind w:firstLine="420"/>
        <w:jc w:val="both"/>
        <w:outlineLvl w:val="0"/>
        <w:rPr>
          <w:rFonts w:hint="eastAsia"/>
          <w:color w:val="333333"/>
          <w:shd w:val="clear" w:color="auto" w:fill="FFFFFF"/>
        </w:rPr>
      </w:pPr>
      <w:r>
        <w:rPr>
          <w:rFonts w:hint="eastAsia"/>
          <w:color w:val="333333"/>
          <w:shd w:val="clear" w:color="auto" w:fill="FFFFFF"/>
        </w:rPr>
        <w:t>2022年政务公开工作虽然取得了一定的成绩，但也还存在政策解读形式不够</w:t>
      </w:r>
      <w:r>
        <w:rPr>
          <w:rFonts w:hint="eastAsia"/>
          <w:color w:val="333333"/>
          <w:shd w:val="clear" w:color="auto" w:fill="FFFFFF"/>
          <w:lang w:eastAsia="zh-CN"/>
        </w:rPr>
        <w:t>全面、</w:t>
      </w:r>
      <w:r>
        <w:rPr>
          <w:rFonts w:hint="eastAsia"/>
          <w:color w:val="333333"/>
          <w:shd w:val="clear" w:color="auto" w:fill="FFFFFF"/>
        </w:rPr>
        <w:t>精准等问题，信息公开平台相关栏目和内容分类仍</w:t>
      </w:r>
      <w:bookmarkStart w:id="0" w:name="_GoBack"/>
      <w:bookmarkEnd w:id="0"/>
      <w:r>
        <w:rPr>
          <w:rFonts w:hint="eastAsia"/>
          <w:color w:val="333333"/>
          <w:shd w:val="clear" w:color="auto" w:fill="FFFFFF"/>
        </w:rPr>
        <w:t>需进一步优化。下一步，我</w:t>
      </w:r>
      <w:r>
        <w:rPr>
          <w:rFonts w:hint="eastAsia"/>
          <w:color w:val="333333"/>
          <w:shd w:val="clear" w:color="auto" w:fill="FFFFFF"/>
          <w:lang w:eastAsia="zh-CN"/>
        </w:rPr>
        <w:t>镇</w:t>
      </w:r>
      <w:r>
        <w:rPr>
          <w:rFonts w:hint="eastAsia"/>
          <w:color w:val="333333"/>
          <w:shd w:val="clear" w:color="auto" w:fill="FFFFFF"/>
        </w:rPr>
        <w:t>将按照关于全面推进政务公开工作的部署要求，做好民政重点领域信息公开，加强政策解读发布，提高依申请公开案件办理质量，强化制度保障，以高质量的信息公开工作促进民政政策落地和服务水平提升。</w:t>
      </w:r>
    </w:p>
    <w:p>
      <w:pPr>
        <w:pStyle w:val="2"/>
        <w:shd w:val="clear" w:color="auto" w:fill="FFFFFF"/>
        <w:spacing w:before="0" w:beforeAutospacing="0" w:after="0" w:afterAutospacing="0"/>
        <w:ind w:firstLine="420"/>
        <w:jc w:val="both"/>
        <w:outlineLvl w:val="0"/>
        <w:rPr>
          <w:rFonts w:hint="eastAsia"/>
          <w:b/>
          <w:color w:val="333333"/>
          <w:shd w:val="clear" w:color="auto" w:fill="FFFFFF"/>
        </w:rPr>
      </w:pPr>
      <w:r>
        <w:rPr>
          <w:rFonts w:hint="eastAsia"/>
          <w:b/>
          <w:color w:val="333333"/>
          <w:shd w:val="clear" w:color="auto" w:fill="FFFFFF"/>
        </w:rPr>
        <w:t>六、其他需要报告的事项</w:t>
      </w:r>
    </w:p>
    <w:p>
      <w:pPr>
        <w:pStyle w:val="2"/>
        <w:shd w:val="clear" w:color="auto" w:fill="FFFFFF"/>
        <w:spacing w:before="0" w:beforeAutospacing="0" w:after="0" w:afterAutospacing="0"/>
        <w:ind w:firstLine="420"/>
        <w:jc w:val="both"/>
        <w:outlineLvl w:val="0"/>
        <w:rPr>
          <w:rFonts w:hint="eastAsia" w:eastAsia="仿宋_GB2312"/>
          <w:color w:val="333333"/>
          <w:shd w:val="clear" w:color="auto" w:fill="FFFFFF"/>
          <w:lang w:eastAsia="zh-CN"/>
        </w:rPr>
      </w:pPr>
      <w:r>
        <w:rPr>
          <w:rFonts w:hint="eastAsia"/>
          <w:color w:val="333333"/>
          <w:shd w:val="clear" w:color="auto" w:fill="FFFFFF"/>
          <w:lang w:eastAsia="zh-CN"/>
        </w:rPr>
        <w:t>无其他需要报告的事项。</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YzMjRjMWJlN2QzNjE4ZTUxNGI3OWM4NjgyZWZjYWQifQ=="/>
  </w:docVars>
  <w:rsids>
    <w:rsidRoot w:val="3E5B229F"/>
    <w:rsid w:val="17214184"/>
    <w:rsid w:val="23AB4641"/>
    <w:rsid w:val="2A253FCE"/>
    <w:rsid w:val="3E5B229F"/>
    <w:rsid w:val="6B1B42E7"/>
    <w:rsid w:val="6BAE218A"/>
    <w:rsid w:val="70A87635"/>
    <w:rsid w:val="728264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1369</Words>
  <Characters>1405</Characters>
  <Lines>0</Lines>
  <Paragraphs>0</Paragraphs>
  <TotalTime>7</TotalTime>
  <ScaleCrop>false</ScaleCrop>
  <LinksUpToDate>false</LinksUpToDate>
  <CharactersWithSpaces>1579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王振鹏也叫王涛</cp:lastModifiedBy>
  <cp:lastPrinted>2019-12-29T11:40:00Z</cp:lastPrinted>
  <dcterms:modified xsi:type="dcterms:W3CDTF">2023-02-22T03:05:34Z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AC4EA95A6478456EBC8A717C679D559C</vt:lpwstr>
  </property>
</Properties>
</file>