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kern w:val="0"/>
          <w:sz w:val="44"/>
          <w:szCs w:val="44"/>
          <w:shd w:val="clear" w:fill="FFFFFF"/>
          <w:lang w:val="en-US" w:eastAsia="zh-CN" w:bidi="ar"/>
        </w:rPr>
        <w:t>涞源县行政审批局2021年政府信息公开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kern w:val="0"/>
          <w:sz w:val="44"/>
          <w:szCs w:val="44"/>
          <w:shd w:val="clear" w:fill="FFFFFF"/>
          <w:lang w:val="en-US" w:eastAsia="zh-CN" w:bidi="ar"/>
        </w:rPr>
        <w:t>年度报告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 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20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/>
          <w:sz w:val="32"/>
          <w:szCs w:val="32"/>
        </w:rPr>
        <w:t>年以来，</w:t>
      </w:r>
      <w:r>
        <w:rPr>
          <w:rFonts w:hint="eastAsia" w:ascii="仿宋" w:hAnsi="仿宋" w:eastAsia="仿宋"/>
          <w:sz w:val="32"/>
          <w:szCs w:val="32"/>
          <w:lang w:eastAsia="zh-CN"/>
        </w:rPr>
        <w:t>涞源县行政</w:t>
      </w:r>
      <w:r>
        <w:rPr>
          <w:rFonts w:hint="eastAsia" w:ascii="仿宋" w:hAnsi="仿宋" w:eastAsia="仿宋"/>
          <w:sz w:val="32"/>
          <w:szCs w:val="32"/>
        </w:rPr>
        <w:t>审批局</w:t>
      </w:r>
      <w:r>
        <w:rPr>
          <w:rFonts w:hint="eastAsia" w:ascii="仿宋" w:hAnsi="仿宋" w:eastAsia="仿宋" w:cs="仿宋_GB2312"/>
          <w:sz w:val="32"/>
          <w:szCs w:val="32"/>
        </w:rPr>
        <w:t>以习近平新时代中国特色社会主义思想为指导，贯彻落实党的十九届二中、三中、四中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、五中、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六中</w:t>
      </w:r>
      <w:r>
        <w:rPr>
          <w:rFonts w:hint="eastAsia" w:ascii="仿宋" w:hAnsi="仿宋" w:eastAsia="仿宋" w:cs="仿宋_GB2312"/>
          <w:sz w:val="32"/>
          <w:szCs w:val="32"/>
        </w:rPr>
        <w:t>全会议精神，深入落实省委、市委、县委各项改革部署，以“三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重</w:t>
      </w:r>
      <w:r>
        <w:rPr>
          <w:rFonts w:hint="eastAsia" w:ascii="仿宋" w:hAnsi="仿宋" w:eastAsia="仿宋" w:cs="仿宋_GB2312"/>
          <w:sz w:val="32"/>
          <w:szCs w:val="32"/>
        </w:rPr>
        <w:t>四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创五优化</w:t>
      </w:r>
      <w:r>
        <w:rPr>
          <w:rFonts w:hint="eastAsia" w:ascii="仿宋" w:hAnsi="仿宋" w:eastAsia="仿宋" w:cs="仿宋_GB2312"/>
          <w:sz w:val="32"/>
          <w:szCs w:val="32"/>
        </w:rPr>
        <w:t>”活动为抓手，深化行政审批制度改革，创新便民举措，提升政务效能，全力</w:t>
      </w:r>
      <w:r>
        <w:rPr>
          <w:rFonts w:hint="eastAsia" w:ascii="仿宋" w:hAnsi="仿宋" w:eastAsia="仿宋"/>
          <w:sz w:val="32"/>
          <w:szCs w:val="32"/>
        </w:rPr>
        <w:t>服务建设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新时代经济强县、品质涞源</w:t>
      </w:r>
      <w:r>
        <w:rPr>
          <w:rFonts w:hint="eastAsia" w:ascii="仿宋" w:hAnsi="仿宋" w:eastAsia="仿宋"/>
          <w:sz w:val="32"/>
          <w:szCs w:val="32"/>
        </w:rPr>
        <w:t>发展目标。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总体情况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（一）工程建设项目制度改革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创新改革措施落地情况。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一是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实施并联审批；二是推行告知承诺制审批；三是全面实施“拿地即开工”审批模式；四是推行区域评估。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（二）企业开办</w:t>
      </w:r>
    </w:p>
    <w:p>
      <w:pPr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内资企业设立登记、公章刻制、发票申领、参保用工登记等企业开办一个工作日内办结，企业设立登记环节4个小时内办结。企业开办总计650户，线上办理630户，线上办理率96.77%，达到考核96%的要求。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企业开办零成本</w:t>
      </w:r>
      <w:r>
        <w:rPr>
          <w:rFonts w:hint="eastAsia" w:ascii="仿宋" w:hAnsi="仿宋" w:eastAsia="仿宋" w:cs="仿宋"/>
          <w:b/>
          <w:sz w:val="32"/>
          <w:szCs w:val="32"/>
        </w:rPr>
        <w:t>：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积极推进企业开办零成本工作，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制定出台关于企业开办零成本的实施方案，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2021年4月9日正式实施，以政府购买服务形式，为新设立企业免费提供三枚（公章、财务章、发票章）印章刻制服务，同时赠送电子印章，年内共赠送440套。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textAlignment w:val="auto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1至12月，个体注册登记1548家、企业注册650家、农民专业合作社登记30家。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（三）政务服务保障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行政审批制度改革措施落地：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一是证照分离改革。二是跨区域通办。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三是行政备案事项规范。四是“一业一证”改革。五是行政许可事项标准化提升。六是“一链办”改革。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基层政务服务建设：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一是推进县政务服务中心建设。二是推进基层服务延伸。三是中介超市平台建设。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互联网+政务服务：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一是全面推行“全流程网上办理”。</w:t>
      </w:r>
      <w:r>
        <w:rPr>
          <w:rFonts w:hint="eastAsia" w:ascii="仿宋_GB2312" w:hAnsi="仿宋_GB2312" w:eastAsia="仿宋_GB2312" w:cs="仿宋_GB2312"/>
          <w:sz w:val="32"/>
          <w:szCs w:val="32"/>
        </w:rPr>
        <w:t>全县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36</w:t>
      </w:r>
      <w:r>
        <w:rPr>
          <w:rFonts w:hint="eastAsia" w:ascii="仿宋_GB2312" w:hAnsi="仿宋_GB2312" w:eastAsia="仿宋_GB2312" w:cs="仿宋_GB2312"/>
          <w:sz w:val="32"/>
          <w:szCs w:val="32"/>
        </w:rPr>
        <w:t>个部门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政务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服务事项共计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1613</w:t>
      </w:r>
      <w:r>
        <w:rPr>
          <w:rFonts w:hint="eastAsia" w:ascii="仿宋_GB2312" w:hAnsi="仿宋_GB2312" w:eastAsia="仿宋_GB2312" w:cs="仿宋_GB2312"/>
          <w:sz w:val="32"/>
          <w:szCs w:val="32"/>
        </w:rPr>
        <w:t>项，已全部实现网上可办，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网上可率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100%。</w:t>
      </w:r>
      <w:r>
        <w:rPr>
          <w:rFonts w:hint="eastAsia" w:ascii="仿宋_GB2312" w:hAnsi="仿宋_GB2312" w:eastAsia="仿宋_GB2312" w:cs="仿宋_GB2312"/>
          <w:sz w:val="32"/>
          <w:szCs w:val="32"/>
        </w:rPr>
        <w:t>全程网办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政务服务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事项共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521</w:t>
      </w:r>
      <w:r>
        <w:rPr>
          <w:rFonts w:hint="eastAsia" w:ascii="仿宋_GB2312" w:hAnsi="仿宋_GB2312" w:eastAsia="仿宋_GB2312" w:cs="仿宋_GB2312"/>
          <w:sz w:val="32"/>
          <w:szCs w:val="32"/>
        </w:rPr>
        <w:t>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，实现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521项，全程网办率100%，网上事项办理覆盖率达54.4%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县级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个</w:t>
      </w:r>
      <w:r>
        <w:rPr>
          <w:rFonts w:hint="eastAsia" w:ascii="仿宋" w:hAnsi="仿宋" w:eastAsia="仿宋" w:cs="仿宋"/>
          <w:sz w:val="32"/>
          <w:szCs w:val="32"/>
        </w:rPr>
        <w:t>省建垂直系统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经省、市协调沟通，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已完成对接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；二是打造“冀时办”智慧服务。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扎实推进“冀时办”工作进程，通过不断宣传，推广应用，现我县上线“冀时办”应用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22项，水、气、暖已上线冀时办，每月点击评价超过3000次，截止目前点击量达41140次。实现“冀时办”可办事项1363项，掌上可办率100%，截止目前通过“冀时办”每月办件50件以上；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三是“一件事一次办”应用。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按照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省市统一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要求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制定出台《一件事一次办“百事通”改革实施方案》，根据106个高频事项目录，调整审批流程，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开设“百事通”窗口，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已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实现线上39个套餐网上可办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办理事项153项；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四是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全面推广电子证照。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我县已归集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电子证照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77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类，共计签发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13417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份。县、乡、村三级电子印章采集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338个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，采集率100%，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实现电子印章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56种，电子印章使用率100%。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取消纸质发放的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事项（取水许可、建筑资质许可）；取水许可事项实现了非政务服务场景的电子证照应用；五是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推进“互联网+监管”建设应用。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积极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推进“互联网+监管”建设应用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健全完善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“互联网+监管”的监管系统，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并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在平台发布动态信息。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目前，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监管事项清单完善率100%，监管行为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录入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1806条，覆盖率80.60%。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2" w:beforeLines="100" w:after="0" w:afterLines="0" w:line="240" w:lineRule="auto"/>
        <w:ind w:left="0" w:leftChars="0" w:right="0" w:rightChars="0" w:firstLine="681" w:firstLineChars="213"/>
        <w:jc w:val="left"/>
        <w:textAlignment w:val="auto"/>
        <w:outlineLvl w:val="9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公共资源交易：一是“应进必进”和电子化水平。二是远程异地评标和市场主体评价情况。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2021年1-12月份交易中心招投标共完成交易项目225项，交易总额约270944.14万元，节约资金2238.38万元；土地使用权出让26宗，交易金额31482万元；国有产权拍卖2宗131600元。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3" w:firstLineChars="200"/>
        <w:textAlignment w:val="auto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（四）政务服务质量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textAlignment w:val="auto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政务服务质量：一是政务服务“好差评”工作开展情况。依托省政务服务“好差评”系统平台，评估“好差评”工作开展情况，2021年评价量379885占人口比率132.9%，部门覆盖率100%，事项评价覆盖率71.3%。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left="0" w:right="0" w:firstLine="420"/>
        <w:jc w:val="both"/>
        <w:rPr>
          <w:rFonts w:hint="eastAsia" w:ascii="黑体" w:hAnsi="黑体" w:eastAsia="黑体" w:cs="黑体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tbl>
      <w:tblPr>
        <w:tblStyle w:val="5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13"/>
        <w:gridCol w:w="1875"/>
        <w:gridCol w:w="6"/>
        <w:gridCol w:w="1265"/>
        <w:gridCol w:w="18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814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7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本年新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制作数量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本年新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公开数量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对外公开总数量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　　0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规范性文件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　　0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上一年项目数量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本年增/减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　12718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　4550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其他对外管理服务事项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上一年项目数量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本年增/减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ascii="仿宋_GB2312" w:hAnsi="Verdana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上一年项目数量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本年增/减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第二十条第（九）项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采购项目数量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采购总金额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政府集中采购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left="0" w:right="0" w:firstLine="42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三、收到和处理政府信息公开申请情况</w:t>
      </w:r>
    </w:p>
    <w:tbl>
      <w:tblPr>
        <w:tblStyle w:val="5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18"/>
        <w:gridCol w:w="798"/>
        <w:gridCol w:w="1890"/>
        <w:gridCol w:w="769"/>
        <w:gridCol w:w="716"/>
        <w:gridCol w:w="716"/>
        <w:gridCol w:w="769"/>
        <w:gridCol w:w="910"/>
        <w:gridCol w:w="678"/>
        <w:gridCol w:w="658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5513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401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商业企业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科研机构</w:t>
            </w:r>
          </w:p>
        </w:tc>
        <w:tc>
          <w:tcPr>
            <w:tcW w:w="8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97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1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  <w:jc w:val="center"/>
        </w:trPr>
        <w:tc>
          <w:tcPr>
            <w:tcW w:w="355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黑体" w:hAnsi="黑体" w:eastAsia="黑体" w:cs="黑体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</w:t>
      </w:r>
    </w:p>
    <w:tbl>
      <w:tblPr>
        <w:tblStyle w:val="5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0"/>
        <w:gridCol w:w="550"/>
        <w:gridCol w:w="550"/>
        <w:gridCol w:w="551"/>
        <w:gridCol w:w="589"/>
        <w:gridCol w:w="540"/>
        <w:gridCol w:w="580"/>
        <w:gridCol w:w="580"/>
        <w:gridCol w:w="580"/>
        <w:gridCol w:w="580"/>
        <w:gridCol w:w="580"/>
        <w:gridCol w:w="580"/>
        <w:gridCol w:w="580"/>
        <w:gridCol w:w="580"/>
        <w:gridCol w:w="552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黑体" w:hAnsi="黑体" w:eastAsia="黑体" w:cs="黑体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五、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存在的主要问题及改进情况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left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kern w:val="0"/>
          <w:sz w:val="32"/>
          <w:szCs w:val="32"/>
          <w:shd w:val="clear" w:fill="FFFFFF"/>
          <w:lang w:val="en-US" w:eastAsia="zh-CN" w:bidi="ar"/>
        </w:rPr>
        <w:t>我局政府信息公开工作取得了一定成效，但仍存在一些困难和问题。主要表现在：一是信息公开及时性和全面性有待改进；二是信息公开内容深度和广度不够等。存在这些问题和不足，需在今后工作中认真加以解决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left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具体的解决办法和改进措施。一是丰富政府信息公开的内容。以社会关注度高，公开利益大的政府信息作为突破口，落实责任，及时收集公开;做到所公开的信息透明度高、内容涉及广、强度大、形式多样。二是拓展政府信息公开形式。强化政府网站作为政府信息公开主渠道的功能，不断拓展政府信息公开渠道，进一步提高公开形式便民性。三是加大资金投入，不断改善版面，丰富内容。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黑体" w:hAnsi="黑体" w:eastAsia="黑体" w:cs="黑体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NiM2M5NTY2Yjc5MDA2NDVlODQzYWRkY2UxNDlhMmQifQ=="/>
  </w:docVars>
  <w:rsids>
    <w:rsidRoot w:val="486D216E"/>
    <w:rsid w:val="486D216E"/>
    <w:rsid w:val="4C1947DE"/>
    <w:rsid w:val="79BF4A66"/>
    <w:rsid w:val="7F19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4">
    <w:name w:val="Body Text First Indent 2"/>
    <w:basedOn w:val="2"/>
    <w:unhideWhenUsed/>
    <w:qFormat/>
    <w:uiPriority w:val="99"/>
    <w:pPr>
      <w:spacing w:after="0"/>
      <w:ind w:left="0" w:leftChars="0" w:firstLine="420" w:firstLineChars="200"/>
    </w:pPr>
    <w:rPr>
      <w:rFonts w:ascii="Calibri" w:hAnsi="Calibri" w:eastAsia="仿宋_GB2312" w:cs="Times New Roman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2332</Words>
  <Characters>2481</Characters>
  <Lines>0</Lines>
  <Paragraphs>0</Paragraphs>
  <TotalTime>7</TotalTime>
  <ScaleCrop>false</ScaleCrop>
  <LinksUpToDate>false</LinksUpToDate>
  <CharactersWithSpaces>2713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2022-10-19T12:07:00Z</dcterms:created>
  <dc:creator>乔乔</dc:creator>
  <cp:lastModifiedBy>乔乔</cp:lastModifiedBy>
  <dcterms:modified xsi:type="dcterms:W3CDTF">2022-10-20T03:04:26Z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A43A1D1F29CD4EB8B35ED11302AEEF56</vt:lpwstr>
  </property>
</Properties>
</file>