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Style w:val="5"/>
          <w:rFonts w:hint="eastAsia" w:ascii="宋体" w:hAnsi="宋体" w:eastAsia="宋体" w:cs="宋体"/>
          <w:b w:val="0"/>
          <w:bCs/>
          <w:i w:val="0"/>
          <w:iCs w:val="0"/>
          <w:caps w:val="0"/>
          <w:color w:val="auto"/>
          <w:spacing w:val="0"/>
          <w:sz w:val="44"/>
          <w:szCs w:val="44"/>
          <w:shd w:val="clear" w:fill="FFFFFF"/>
          <w:lang w:eastAsia="zh-CN"/>
        </w:rPr>
      </w:pPr>
      <w:r>
        <w:rPr>
          <w:rStyle w:val="5"/>
          <w:rFonts w:hint="eastAsia" w:ascii="宋体" w:hAnsi="宋体" w:eastAsia="宋体" w:cs="宋体"/>
          <w:b w:val="0"/>
          <w:bCs/>
          <w:i w:val="0"/>
          <w:iCs w:val="0"/>
          <w:caps w:val="0"/>
          <w:color w:val="auto"/>
          <w:spacing w:val="0"/>
          <w:sz w:val="44"/>
          <w:szCs w:val="44"/>
          <w:shd w:val="clear" w:fill="FFFFFF"/>
          <w:lang w:eastAsia="zh-CN"/>
        </w:rPr>
        <w:t>河北涞源经济开发区</w:t>
      </w:r>
    </w:p>
    <w:p>
      <w:pPr>
        <w:jc w:val="center"/>
        <w:rPr>
          <w:rStyle w:val="5"/>
          <w:rFonts w:hint="eastAsia" w:ascii="宋体" w:hAnsi="宋体" w:eastAsia="宋体" w:cs="宋体"/>
          <w:b w:val="0"/>
          <w:bCs/>
          <w:i w:val="0"/>
          <w:iCs w:val="0"/>
          <w:caps w:val="0"/>
          <w:color w:val="auto"/>
          <w:spacing w:val="0"/>
          <w:sz w:val="44"/>
          <w:szCs w:val="44"/>
          <w:shd w:val="clear" w:fill="FFFFFF"/>
        </w:rPr>
      </w:pPr>
      <w:r>
        <w:rPr>
          <w:rStyle w:val="5"/>
          <w:rFonts w:hint="eastAsia" w:ascii="宋体" w:hAnsi="宋体" w:eastAsia="宋体" w:cs="宋体"/>
          <w:b w:val="0"/>
          <w:bCs/>
          <w:i w:val="0"/>
          <w:iCs w:val="0"/>
          <w:caps w:val="0"/>
          <w:color w:val="auto"/>
          <w:spacing w:val="0"/>
          <w:sz w:val="44"/>
          <w:szCs w:val="44"/>
          <w:shd w:val="clear" w:fill="FFFFFF"/>
        </w:rPr>
        <w:t>2021年政府信息公开年度报告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</w:pPr>
      <w:r>
        <w:rPr>
          <w:rFonts w:ascii="黑体" w:hAnsi="宋体" w:eastAsia="黑体" w:cs="黑体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一、总体情况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2021年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  <w:t>涞源经济开发区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政务公开工作坚持以习近平新时代中国特色社会主义思想为指导，紧紧围绕县委、政府工作部署和总体要求，始终牢记全心全意为人民服务的宗旨，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  <w:t>本着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以繁荣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涞源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经济</w:t>
      </w: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为原则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，扎实开展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基础设施项目建设、招商引资、区内项目落地</w:t>
      </w: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等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各项工作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。全年在涞源县信息公开平台主动公开政府信息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3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条，其中公开公示类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1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条、财政（务）预算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1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条、财政（务）决算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1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条。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黑体" w:hAnsi="宋体" w:eastAsia="黑体" w:cs="黑体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ascii="黑体" w:hAnsi="宋体" w:eastAsia="黑体" w:cs="黑体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主动公开政府信息情况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黑体" w:hAnsi="宋体" w:eastAsia="黑体" w:cs="黑体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 xml:space="preserve"> </w:t>
      </w:r>
    </w:p>
    <w:tbl>
      <w:tblPr>
        <w:tblStyle w:val="3"/>
        <w:tblW w:w="974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435"/>
        <w:gridCol w:w="2435"/>
        <w:gridCol w:w="2435"/>
        <w:gridCol w:w="243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第二十条第（一）项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信息内容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本年制发件数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本年废止件数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现行有效件数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规章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left"/>
            </w:pP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left"/>
            </w:pP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left"/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行政规范性文件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left"/>
            </w:pP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left"/>
            </w:pP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left"/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第二十条第（五）项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本年处理决定数量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行政许可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left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第二十条第（六）项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本年处理决定数量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行政处罚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left"/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行政强制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left"/>
            </w:pPr>
            <w:bookmarkStart w:id="0" w:name="_GoBack"/>
            <w:bookmarkEnd w:id="0"/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第二十条第（八）项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本年收费金额（单位：万元）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行政事业性收费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left"/>
            </w:pPr>
          </w:p>
        </w:tc>
      </w:tr>
    </w:tbl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60" w:lineRule="atLeast"/>
        <w:ind w:left="0" w:right="0" w:firstLine="0"/>
        <w:jc w:val="left"/>
        <w:rPr>
          <w:rFonts w:hint="default" w:ascii="Verdana" w:hAnsi="Verdana" w:eastAsia="Verdana" w:cs="Verdana"/>
          <w:i w:val="0"/>
          <w:iCs w:val="0"/>
          <w:caps w:val="0"/>
          <w:color w:val="484747"/>
          <w:spacing w:val="0"/>
          <w:sz w:val="21"/>
          <w:szCs w:val="21"/>
        </w:rPr>
      </w:pPr>
      <w:r>
        <w:rPr>
          <w:rFonts w:hint="default" w:ascii="Calibri" w:hAnsi="Calibri" w:eastAsia="Verdana" w:cs="Calibri"/>
          <w:i w:val="0"/>
          <w:iCs w:val="0"/>
          <w:caps w:val="0"/>
          <w:color w:val="484747"/>
          <w:spacing w:val="0"/>
          <w:kern w:val="0"/>
          <w:sz w:val="32"/>
          <w:szCs w:val="32"/>
          <w:shd w:val="clear" w:fill="FFFFFF"/>
          <w:lang w:val="en-US" w:eastAsia="zh-CN" w:bidi="ar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60" w:lineRule="atLeast"/>
        <w:ind w:right="0"/>
        <w:jc w:val="both"/>
        <w:rPr>
          <w:rFonts w:hint="eastAsia" w:ascii="黑体" w:hAnsi="黑体" w:eastAsia="黑体" w:cs="黑体"/>
          <w:i w:val="0"/>
          <w:iCs w:val="0"/>
          <w:caps w:val="0"/>
          <w:color w:val="484747"/>
          <w:spacing w:val="0"/>
          <w:sz w:val="21"/>
          <w:szCs w:val="21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三、收到和处理政府信息公开申请情况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60" w:lineRule="atLeast"/>
        <w:ind w:right="0"/>
        <w:jc w:val="both"/>
        <w:rPr>
          <w:rFonts w:hint="default" w:ascii="Verdana" w:hAnsi="Verdana" w:eastAsia="Verdana" w:cs="Verdana"/>
          <w:i w:val="0"/>
          <w:iCs w:val="0"/>
          <w:caps w:val="0"/>
          <w:color w:val="484747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 </w:t>
      </w:r>
    </w:p>
    <w:tbl>
      <w:tblPr>
        <w:tblStyle w:val="3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81"/>
        <w:gridCol w:w="1074"/>
        <w:gridCol w:w="3112"/>
        <w:gridCol w:w="683"/>
        <w:gridCol w:w="683"/>
        <w:gridCol w:w="683"/>
        <w:gridCol w:w="683"/>
        <w:gridCol w:w="683"/>
        <w:gridCol w:w="683"/>
        <w:gridCol w:w="683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150" w:type="dxa"/>
            <w:gridSpan w:val="3"/>
            <w:vMerge w:val="restart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left"/>
            </w:pPr>
            <w:r>
              <w:rPr>
                <w:rFonts w:ascii="楷体" w:hAnsi="楷体" w:eastAsia="楷体" w:cs="楷体"/>
                <w:kern w:val="0"/>
                <w:sz w:val="32"/>
                <w:szCs w:val="32"/>
                <w:lang w:val="en-US" w:eastAsia="zh-CN" w:bidi="ar"/>
              </w:rPr>
              <w:t>（本列数据的勾稽关系为：第一项加第二项之和，等于第三项加第四项之和）</w:t>
            </w:r>
          </w:p>
        </w:tc>
        <w:tc>
          <w:tcPr>
            <w:tcW w:w="4998" w:type="dxa"/>
            <w:gridSpan w:val="7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申请人情况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150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714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自然人</w:t>
            </w:r>
          </w:p>
        </w:tc>
        <w:tc>
          <w:tcPr>
            <w:tcW w:w="3570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法人或其他组织</w:t>
            </w:r>
          </w:p>
        </w:tc>
        <w:tc>
          <w:tcPr>
            <w:tcW w:w="714" w:type="dxa"/>
            <w:vMerge w:val="restart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总计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150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714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商业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企业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科研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机构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社会公益组织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法律服务机构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其他</w:t>
            </w:r>
          </w:p>
        </w:tc>
        <w:tc>
          <w:tcPr>
            <w:tcW w:w="714" w:type="dxa"/>
            <w:vMerge w:val="continue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150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一、本年新收政府信息公开申请数量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150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二、上年结转政府信息公开申请数量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restart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三、本年度办理结果</w:t>
            </w:r>
          </w:p>
        </w:tc>
        <w:tc>
          <w:tcPr>
            <w:tcW w:w="4365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（一）予以公开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4365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（二）部分公开</w:t>
            </w:r>
            <w:r>
              <w:rPr>
                <w:rFonts w:hint="eastAsia" w:ascii="楷体" w:hAnsi="楷体" w:eastAsia="楷体" w:cs="楷体"/>
                <w:kern w:val="0"/>
                <w:sz w:val="32"/>
                <w:szCs w:val="32"/>
                <w:lang w:val="en-US" w:eastAsia="zh-CN" w:bidi="ar"/>
              </w:rPr>
              <w:t>（区分处理的，只计这一情形，不计其他情形）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959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（三）不予公开</w:t>
            </w: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1.属于国家秘密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2.其他法律行政法规禁止公开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3.危及“三安全一稳定”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4.保护第三方合法权益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5.属于三类内部事务信息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6.属于四类过程性信息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7.属于行政执法案卷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8.属于行政查询事项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959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（四）无法提供</w:t>
            </w: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1.本机关不掌握相关政府信息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2.没有现成信息需要另行制作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3.补正后申请内容仍不明确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959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（五）不予处理</w:t>
            </w: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1.信访举报投诉类申请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2.重复申请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3.要求提供公开出版物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4.无正当理由大量反复申请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 w:hRule="atLeast"/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both"/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5.要求行政机关确认或重新出具已获取信息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959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（六）其他处理</w:t>
            </w: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both"/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1.申请人无正当理由逾期不补正、行政机关不再处理其政府信息公开申请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both"/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2.申请人逾期未按收费通知要求缴纳费用、行政机关不再处理其政府信息公开申请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3.其他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4365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（七）总计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150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四、结转下年度继续办理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Calibri" w:hAnsi="Calibri" w:eastAsia="Verdana" w:cs="Calibri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60" w:lineRule="atLeast"/>
        <w:ind w:left="0" w:right="0" w:firstLine="420"/>
        <w:jc w:val="both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60" w:lineRule="atLeast"/>
        <w:ind w:left="0" w:right="0" w:firstLine="420"/>
        <w:jc w:val="both"/>
        <w:rPr>
          <w:rFonts w:hint="default" w:ascii="Verdana" w:hAnsi="Verdana" w:eastAsia="Verdana" w:cs="Verdana"/>
          <w:i w:val="0"/>
          <w:iCs w:val="0"/>
          <w:caps w:val="0"/>
          <w:color w:val="484747"/>
          <w:spacing w:val="0"/>
          <w:sz w:val="21"/>
          <w:szCs w:val="21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四、政府信息公开行政复议、行政诉讼情况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 </w:t>
      </w:r>
    </w:p>
    <w:tbl>
      <w:tblPr>
        <w:tblStyle w:val="3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49"/>
        <w:gridCol w:w="649"/>
        <w:gridCol w:w="649"/>
        <w:gridCol w:w="649"/>
        <w:gridCol w:w="649"/>
        <w:gridCol w:w="649"/>
        <w:gridCol w:w="649"/>
        <w:gridCol w:w="650"/>
        <w:gridCol w:w="650"/>
        <w:gridCol w:w="650"/>
        <w:gridCol w:w="651"/>
        <w:gridCol w:w="651"/>
        <w:gridCol w:w="651"/>
        <w:gridCol w:w="651"/>
        <w:gridCol w:w="651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210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行政复议</w:t>
            </w:r>
          </w:p>
        </w:tc>
        <w:tc>
          <w:tcPr>
            <w:tcW w:w="6428" w:type="dxa"/>
            <w:gridSpan w:val="10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行政诉讼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42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结果维持</w:t>
            </w:r>
          </w:p>
        </w:tc>
        <w:tc>
          <w:tcPr>
            <w:tcW w:w="642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结果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纠正</w:t>
            </w:r>
          </w:p>
        </w:tc>
        <w:tc>
          <w:tcPr>
            <w:tcW w:w="642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其他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结果</w:t>
            </w:r>
          </w:p>
        </w:tc>
        <w:tc>
          <w:tcPr>
            <w:tcW w:w="642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尚未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审结</w:t>
            </w:r>
          </w:p>
        </w:tc>
        <w:tc>
          <w:tcPr>
            <w:tcW w:w="642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总计</w:t>
            </w:r>
          </w:p>
        </w:tc>
        <w:tc>
          <w:tcPr>
            <w:tcW w:w="3213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未经复议直接起诉</w:t>
            </w:r>
          </w:p>
        </w:tc>
        <w:tc>
          <w:tcPr>
            <w:tcW w:w="3215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复议后起诉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1" w:hRule="atLeast"/>
          <w:jc w:val="center"/>
        </w:trPr>
        <w:tc>
          <w:tcPr>
            <w:tcW w:w="642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42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结果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维持</w:t>
            </w:r>
          </w:p>
        </w:tc>
        <w:tc>
          <w:tcPr>
            <w:tcW w:w="6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结果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纠正</w:t>
            </w:r>
          </w:p>
        </w:tc>
        <w:tc>
          <w:tcPr>
            <w:tcW w:w="64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其他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结果</w:t>
            </w:r>
          </w:p>
        </w:tc>
        <w:tc>
          <w:tcPr>
            <w:tcW w:w="64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尚未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审结</w:t>
            </w:r>
          </w:p>
        </w:tc>
        <w:tc>
          <w:tcPr>
            <w:tcW w:w="64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总计</w:t>
            </w:r>
          </w:p>
        </w:tc>
        <w:tc>
          <w:tcPr>
            <w:tcW w:w="64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结果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维持</w:t>
            </w:r>
          </w:p>
        </w:tc>
        <w:tc>
          <w:tcPr>
            <w:tcW w:w="64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结果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纠正</w:t>
            </w:r>
          </w:p>
        </w:tc>
        <w:tc>
          <w:tcPr>
            <w:tcW w:w="64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其他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结果</w:t>
            </w:r>
          </w:p>
        </w:tc>
        <w:tc>
          <w:tcPr>
            <w:tcW w:w="64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尚未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审结</w:t>
            </w:r>
          </w:p>
        </w:tc>
        <w:tc>
          <w:tcPr>
            <w:tcW w:w="64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32"/>
                <w:szCs w:val="32"/>
                <w:lang w:val="en-US" w:eastAsia="zh-CN" w:bidi="ar"/>
              </w:rPr>
              <w:t>总计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2" w:hRule="atLeast"/>
          <w:jc w:val="center"/>
        </w:trPr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 w:firstLine="0"/>
              <w:jc w:val="center"/>
            </w:pPr>
          </w:p>
        </w:tc>
        <w:tc>
          <w:tcPr>
            <w:tcW w:w="6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 w:firstLine="0"/>
              <w:jc w:val="center"/>
            </w:pPr>
          </w:p>
        </w:tc>
        <w:tc>
          <w:tcPr>
            <w:tcW w:w="6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 w:firstLine="0"/>
              <w:jc w:val="center"/>
            </w:pPr>
          </w:p>
        </w:tc>
        <w:tc>
          <w:tcPr>
            <w:tcW w:w="6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 w:firstLine="0"/>
              <w:jc w:val="center"/>
            </w:pPr>
          </w:p>
        </w:tc>
        <w:tc>
          <w:tcPr>
            <w:tcW w:w="6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 w:firstLine="0"/>
              <w:jc w:val="center"/>
            </w:pPr>
          </w:p>
        </w:tc>
        <w:tc>
          <w:tcPr>
            <w:tcW w:w="6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 w:firstLine="0"/>
              <w:jc w:val="center"/>
            </w:pPr>
          </w:p>
        </w:tc>
        <w:tc>
          <w:tcPr>
            <w:tcW w:w="6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 w:firstLine="0"/>
              <w:jc w:val="center"/>
            </w:pPr>
          </w:p>
        </w:tc>
        <w:tc>
          <w:tcPr>
            <w:tcW w:w="64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 w:firstLine="0"/>
              <w:jc w:val="center"/>
            </w:pPr>
          </w:p>
        </w:tc>
        <w:tc>
          <w:tcPr>
            <w:tcW w:w="64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 w:firstLine="0"/>
              <w:jc w:val="center"/>
            </w:pPr>
          </w:p>
        </w:tc>
        <w:tc>
          <w:tcPr>
            <w:tcW w:w="64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 w:firstLine="0"/>
              <w:jc w:val="center"/>
            </w:pPr>
          </w:p>
        </w:tc>
        <w:tc>
          <w:tcPr>
            <w:tcW w:w="64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 w:firstLine="0"/>
              <w:jc w:val="center"/>
            </w:pPr>
          </w:p>
        </w:tc>
        <w:tc>
          <w:tcPr>
            <w:tcW w:w="64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 w:firstLine="0"/>
              <w:jc w:val="center"/>
            </w:pPr>
          </w:p>
        </w:tc>
        <w:tc>
          <w:tcPr>
            <w:tcW w:w="64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 w:firstLine="0"/>
              <w:jc w:val="center"/>
            </w:pPr>
          </w:p>
        </w:tc>
        <w:tc>
          <w:tcPr>
            <w:tcW w:w="64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 w:firstLine="0"/>
              <w:jc w:val="center"/>
            </w:pPr>
          </w:p>
        </w:tc>
        <w:tc>
          <w:tcPr>
            <w:tcW w:w="64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left"/>
            </w:pPr>
          </w:p>
        </w:tc>
      </w:tr>
    </w:tbl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60" w:lineRule="atLeast"/>
        <w:ind w:left="0" w:right="0" w:firstLine="0"/>
        <w:jc w:val="left"/>
        <w:rPr>
          <w:rFonts w:hint="default" w:ascii="Verdana" w:hAnsi="Verdana" w:eastAsia="Verdana" w:cs="Verdana"/>
          <w:i w:val="0"/>
          <w:iCs w:val="0"/>
          <w:caps w:val="0"/>
          <w:color w:val="484747"/>
          <w:spacing w:val="0"/>
          <w:sz w:val="21"/>
          <w:szCs w:val="21"/>
        </w:rPr>
      </w:pPr>
      <w:r>
        <w:rPr>
          <w:rFonts w:hint="default" w:ascii="Calibri" w:hAnsi="Calibri" w:eastAsia="Verdana" w:cs="Calibri"/>
          <w:i w:val="0"/>
          <w:iCs w:val="0"/>
          <w:caps w:val="0"/>
          <w:color w:val="484747"/>
          <w:spacing w:val="0"/>
          <w:kern w:val="0"/>
          <w:sz w:val="32"/>
          <w:szCs w:val="32"/>
          <w:shd w:val="clear" w:fill="FFFFFF"/>
          <w:lang w:val="en-US" w:eastAsia="zh-CN" w:bidi="ar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60" w:lineRule="atLeast"/>
        <w:ind w:right="0"/>
        <w:jc w:val="both"/>
        <w:rPr>
          <w:rFonts w:hint="eastAsia" w:ascii="黑体" w:hAnsi="黑体" w:eastAsia="黑体" w:cs="黑体"/>
          <w:i w:val="0"/>
          <w:iCs w:val="0"/>
          <w:caps w:val="0"/>
          <w:color w:val="484747"/>
          <w:spacing w:val="0"/>
          <w:sz w:val="21"/>
          <w:szCs w:val="21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五、存在的主要问题及改进措施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60" w:lineRule="atLeast"/>
        <w:ind w:right="0" w:firstLine="640" w:firstLineChars="200"/>
        <w:jc w:val="both"/>
        <w:rPr>
          <w:rFonts w:hint="eastAsia" w:ascii="仿宋_GB2312" w:hAnsi="Verdana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</w:pPr>
      <w:r>
        <w:rPr>
          <w:rFonts w:ascii="仿宋_GB2312" w:hAnsi="Verdana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目前，</w:t>
      </w:r>
      <w:r>
        <w:rPr>
          <w:rFonts w:hint="eastAsia" w:ascii="仿宋_GB2312" w:hAnsi="Verdana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  <w:t>涞源经济开发区政府</w:t>
      </w:r>
      <w:r>
        <w:rPr>
          <w:rFonts w:ascii="仿宋_GB2312" w:hAnsi="Verdana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信息公开工作存在的问题：一是</w:t>
      </w:r>
      <w:r>
        <w:rPr>
          <w:rFonts w:hint="eastAsia" w:ascii="仿宋_GB2312" w:hAnsi="Verdana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  <w:t>人员力量不足，信息公开意识有待进一步提高；二是信息公开内容</w:t>
      </w:r>
      <w:r>
        <w:rPr>
          <w:rFonts w:hint="default" w:ascii="仿宋_GB2312" w:hAnsi="Verdana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需要进一步细化</w:t>
      </w:r>
      <w:r>
        <w:rPr>
          <w:rFonts w:hint="eastAsia" w:ascii="仿宋_GB2312" w:hAnsi="Verdana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  <w:t>；三</w:t>
      </w:r>
      <w:r>
        <w:rPr>
          <w:rFonts w:hint="default" w:ascii="仿宋_GB2312" w:hAnsi="Verdana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是</w:t>
      </w:r>
      <w:r>
        <w:rPr>
          <w:rFonts w:hint="eastAsia" w:ascii="仿宋_GB2312" w:hAnsi="Verdana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  <w:t>信息公开数量</w:t>
      </w:r>
      <w:r>
        <w:rPr>
          <w:rFonts w:hint="default" w:ascii="仿宋_GB2312" w:hAnsi="Verdana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需要增加，内容</w:t>
      </w:r>
      <w:r>
        <w:rPr>
          <w:rFonts w:hint="eastAsia" w:ascii="仿宋_GB2312" w:hAnsi="Verdana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  <w:t>深度以及</w:t>
      </w:r>
      <w:r>
        <w:rPr>
          <w:rFonts w:ascii="仿宋_GB2312" w:hAnsi="Verdana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时效</w:t>
      </w:r>
      <w:r>
        <w:rPr>
          <w:rFonts w:hint="eastAsia" w:ascii="仿宋_GB2312" w:hAnsi="Verdana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  <w:t>需要提高</w:t>
      </w:r>
      <w:r>
        <w:rPr>
          <w:rFonts w:hint="eastAsia" w:ascii="仿宋_GB2312" w:hAnsi="Verdana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  <w:t>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60" w:lineRule="atLeast"/>
        <w:ind w:right="0" w:firstLine="620" w:firstLineChars="200"/>
        <w:jc w:val="both"/>
        <w:rPr>
          <w:rFonts w:hint="eastAsia" w:ascii="Verdana" w:hAnsi="Verdana" w:eastAsia="仿宋_GB2312" w:cs="Verdana"/>
          <w:i w:val="0"/>
          <w:iCs w:val="0"/>
          <w:caps w:val="0"/>
          <w:color w:val="484747"/>
          <w:spacing w:val="0"/>
          <w:sz w:val="21"/>
          <w:szCs w:val="21"/>
          <w:lang w:eastAsia="zh-CN"/>
        </w:rPr>
      </w:pPr>
      <w:r>
        <w:rPr>
          <w:rFonts w:ascii="仿宋_GB2312" w:hAnsi="宋体" w:eastAsia="仿宋_GB2312" w:cs="仿宋_GB2312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2022年，</w:t>
      </w:r>
      <w:r>
        <w:rPr>
          <w:rFonts w:hint="eastAsia" w:ascii="仿宋_GB2312" w:hAnsi="Verdana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  <w:t>涞源经济开发区</w:t>
      </w:r>
      <w:r>
        <w:rPr>
          <w:rFonts w:hint="default" w:ascii="仿宋_GB2312" w:hAnsi="宋体" w:eastAsia="仿宋_GB2312" w:cs="仿宋_GB2312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按照上级文件要求，</w:t>
      </w:r>
      <w:r>
        <w:rPr>
          <w:rFonts w:hint="eastAsia" w:ascii="仿宋_GB2312" w:hAnsi="Verdana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  <w:t>进一步健全完善公开制度体系，</w:t>
      </w:r>
      <w:r>
        <w:rPr>
          <w:rFonts w:hint="eastAsia" w:ascii="仿宋_GB2312" w:hAnsi="Verdana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  <w:t>加强对信息联络人员的培训，着力提高信息人员信息公开意识，切实做到信息公开及时、准确、全面。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60" w:lineRule="atLeast"/>
        <w:ind w:left="0" w:right="0" w:firstLine="420"/>
        <w:jc w:val="both"/>
        <w:rPr>
          <w:rFonts w:hint="default" w:ascii="Verdana" w:hAnsi="Verdana" w:eastAsia="Verdana" w:cs="Verdana"/>
          <w:i w:val="0"/>
          <w:iCs w:val="0"/>
          <w:caps w:val="0"/>
          <w:color w:val="484747"/>
          <w:spacing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六、其他需要报告的事项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60" w:lineRule="atLeast"/>
        <w:ind w:left="0" w:right="0" w:firstLine="420"/>
        <w:jc w:val="both"/>
        <w:rPr>
          <w:rFonts w:hint="default" w:ascii="Verdana" w:hAnsi="Verdana" w:eastAsia="Verdana" w:cs="Verdana"/>
          <w:i w:val="0"/>
          <w:iCs w:val="0"/>
          <w:caps w:val="0"/>
          <w:color w:val="484747"/>
          <w:spacing w:val="0"/>
          <w:sz w:val="21"/>
          <w:szCs w:val="21"/>
        </w:rPr>
      </w:pPr>
      <w:r>
        <w:rPr>
          <w:rFonts w:hint="default" w:ascii="仿宋_GB2312" w:hAnsi="Verdana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无其他需要报告的事项。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default" w:ascii="Verdana" w:hAnsi="Verdana" w:eastAsia="Verdana" w:cs="Verdana"/>
          <w:i w:val="0"/>
          <w:iCs w:val="0"/>
          <w:caps w:val="0"/>
          <w:color w:val="484747"/>
          <w:spacing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default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60" w:lineRule="atLeast"/>
        <w:ind w:right="0"/>
        <w:jc w:val="both"/>
        <w:rPr>
          <w:rFonts w:hint="eastAsia" w:ascii="Verdana" w:hAnsi="Verdana" w:eastAsia="仿宋_GB2312" w:cs="Verdana"/>
          <w:i w:val="0"/>
          <w:iCs w:val="0"/>
          <w:caps w:val="0"/>
          <w:color w:val="484747"/>
          <w:spacing w:val="0"/>
          <w:sz w:val="21"/>
          <w:szCs w:val="21"/>
          <w:lang w:eastAsia="zh-CN"/>
        </w:rPr>
      </w:pPr>
      <w:r>
        <w:rPr>
          <w:rFonts w:hint="default" w:ascii="仿宋_GB2312" w:hAnsi="Verdana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 xml:space="preserve">                            </w:t>
      </w:r>
      <w:r>
        <w:rPr>
          <w:rFonts w:hint="eastAsia" w:ascii="仿宋_GB2312" w:hAnsi="Verdana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 xml:space="preserve">       </w:t>
      </w:r>
      <w:r>
        <w:rPr>
          <w:rFonts w:hint="eastAsia" w:ascii="仿宋_GB2312" w:hAnsi="Verdana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  <w:t>河北涞源经济开发区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60" w:lineRule="atLeast"/>
        <w:ind w:right="0" w:firstLine="5120" w:firstLineChars="1600"/>
        <w:jc w:val="both"/>
        <w:rPr>
          <w:rFonts w:hint="default" w:ascii="黑体" w:hAnsi="宋体" w:eastAsia="黑体" w:cs="黑体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default" w:ascii="仿宋_GB2312" w:hAnsi="Verdana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2022年1月28日</w:t>
      </w:r>
    </w:p>
    <w:sectPr>
      <w:pgSz w:w="11906" w:h="16838"/>
      <w:pgMar w:top="1440" w:right="1531" w:bottom="1440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Verdana">
    <w:panose1 w:val="020B0604030504040204"/>
    <w:charset w:val="00"/>
    <w:family w:val="auto"/>
    <w:pitch w:val="default"/>
    <w:sig w:usb0="A10006FF" w:usb1="4000205B" w:usb2="00000010" w:usb3="00000000" w:csb0="2000019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E1FD53A"/>
    <w:multiLevelType w:val="singleLevel"/>
    <w:tmpl w:val="4E1FD53A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59A5E7E"/>
    <w:rsid w:val="059A5E7E"/>
    <w:rsid w:val="1B674F1E"/>
    <w:rsid w:val="6FB94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43</TotalTime>
  <ScaleCrop>false</ScaleCrop>
  <LinksUpToDate>false</LinksUpToDate>
  <CharactersWithSpaces>0</CharactersWithSpaces>
  <Application>WPS Office_11.1.0.11294_F1E327BC-269C-435d-A152-05C5408002CA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2022-01-28T05:22:00Z</dcterms:created>
  <dc:creator>Administrator</dc:creator>
  <cp:lastModifiedBy>十五的月亮十六圆</cp:lastModifiedBy>
  <cp:lastPrinted>2022-01-28T06:13:00Z</cp:lastPrinted>
  <dcterms:modified xsi:type="dcterms:W3CDTF">2022-02-16T03:25:03Z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7CAD730666D94D9A9A12086DB716BE93</vt:lpwstr>
  </property>
</Properties>
</file>