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uppressAutoHyphens/>
        <w:kinsoku/>
        <w:wordWrap/>
        <w:overflowPunct/>
        <w:topLinePunct w:val="0"/>
        <w:autoSpaceDE/>
        <w:autoSpaceDN/>
        <w:bidi w:val="0"/>
        <w:spacing w:line="560" w:lineRule="exact"/>
        <w:jc w:val="center"/>
        <w:textAlignment w:val="auto"/>
        <w:rPr>
          <w:rFonts w:hint="eastAsia" w:ascii="宋体" w:cs="仿宋"/>
          <w:b/>
          <w:bCs/>
          <w:color w:val="000000"/>
          <w:sz w:val="44"/>
          <w:szCs w:val="44"/>
          <w:lang w:val="en-US" w:eastAsia="zh-CN"/>
        </w:rPr>
      </w:pPr>
      <w:r>
        <w:rPr>
          <w:rFonts w:hint="eastAsia" w:ascii="宋体" w:cs="仿宋"/>
          <w:b/>
          <w:bCs/>
          <w:color w:val="000000"/>
          <w:sz w:val="44"/>
          <w:szCs w:val="44"/>
          <w:lang w:val="en-US" w:eastAsia="zh-CN"/>
        </w:rPr>
        <w:t>稳投资政策措施十一条</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01.稳投资政策措施</w:t>
      </w:r>
      <w:r>
        <w:rPr>
          <w:rFonts w:ascii="黑体" w:eastAsia="黑体" w:cs="黑体"/>
          <w:b w:val="0"/>
          <w:bCs w:val="0"/>
          <w:color w:val="000000"/>
          <w:sz w:val="32"/>
          <w:szCs w:val="32"/>
          <w:highlight w:val="none"/>
          <w:lang w:val="en-US" w:eastAsia="zh-CN"/>
        </w:rPr>
        <w:t>第一条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highlight w:val="none"/>
          <w:lang w:val="en-US" w:eastAsia="zh-CN"/>
        </w:rPr>
        <w:t>搭建发改统筹、财政支撑、三方参与、行业负责、平台实施“五位一体”的项目编制营，建立严谨、科学的项目谋划机制，把各类规划成果转化为项目滚动实施计划。</w:t>
      </w:r>
      <w:r>
        <w:rPr>
          <w:rFonts w:hint="eastAsia" w:ascii="仿宋" w:eastAsia="仿宋" w:cs="仿宋"/>
          <w:color w:val="000000"/>
          <w:sz w:val="32"/>
          <w:szCs w:val="32"/>
          <w:lang w:val="en-US" w:eastAsia="zh-CN"/>
        </w:rPr>
        <w:t>重点围绕中央财经委第十一次会议提出的5个重大基础设施建设领域，超前谋划一批网络型、产业升级、城市品质、农业农村、国家安全等重大基础设施项目。</w:t>
      </w:r>
      <w:r>
        <w:rPr>
          <w:rFonts w:hint="eastAsia" w:ascii="仿宋" w:eastAsia="仿宋" w:cs="仿宋"/>
          <w:sz w:val="32"/>
          <w:szCs w:val="32"/>
        </w:rPr>
        <w:t>支持新建高标准农田</w:t>
      </w:r>
      <w:r>
        <w:rPr>
          <w:rFonts w:hint="eastAsia" w:ascii="仿宋" w:eastAsia="仿宋" w:cs="仿宋"/>
          <w:sz w:val="32"/>
          <w:szCs w:val="32"/>
          <w:lang w:val="en-US" w:eastAsia="zh-CN"/>
        </w:rPr>
        <w:t>1</w:t>
      </w:r>
      <w:r>
        <w:rPr>
          <w:rFonts w:hint="eastAsia" w:ascii="仿宋" w:eastAsia="仿宋" w:cs="仿宋"/>
          <w:sz w:val="32"/>
          <w:szCs w:val="32"/>
        </w:rPr>
        <w:t>万亩，每亩补助1500元左右，实施土地平整、灌溉排水和节水、田间机耕道路、农田防护与生态环境保持、农田输配电和损毁工程修复等基础设施建设。</w:t>
      </w:r>
      <w:r>
        <w:rPr>
          <w:rFonts w:hint="eastAsia" w:ascii="仿宋" w:eastAsia="仿宋" w:cs="仿宋"/>
          <w:color w:val="000000"/>
          <w:sz w:val="32"/>
          <w:szCs w:val="32"/>
          <w:lang w:val="en-US" w:eastAsia="zh-CN"/>
        </w:rPr>
        <w:t>推动电网重点工程建设。严格落实属地职责，配合做好西合营-房山500千伏线路的前期可研，以及后续实施保障工作。</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涞源县域内全各乡镇。</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b w:val="0"/>
          <w:bCs w:val="0"/>
          <w:color w:val="000000"/>
          <w:sz w:val="32"/>
          <w:szCs w:val="32"/>
          <w:highlight w:val="none"/>
          <w:lang w:val="en-US" w:eastAsia="zh-CN"/>
        </w:rPr>
      </w:pPr>
      <w:r>
        <w:rPr>
          <w:rFonts w:hint="eastAsia" w:ascii="仿宋" w:eastAsia="仿宋" w:cs="仿宋"/>
          <w:b w:val="0"/>
          <w:bCs w:val="0"/>
          <w:color w:val="000000"/>
          <w:sz w:val="32"/>
          <w:szCs w:val="32"/>
          <w:highlight w:val="none"/>
          <w:lang w:val="en-US" w:eastAsia="zh-CN"/>
        </w:rPr>
        <w:t>县发改局负责政策宣传解释，具体工作有财政局和自然资源规划局、农业局、电力局实施。</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 责任人：吉彦涛</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联系电话：13131278925</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责任单位：自然资源规划局 责任人：贾丽芳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联系电话：0312-7318724</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责任单位：县财政局 责任人： 张海峰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联系电话：13633328338</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责任单位：县农业农村局 责任人： 李学琴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联系电话：13673121983</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责任单位：供电公司 责任人：徐利化</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联系电话：18003121997</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02.稳投资政策措施</w:t>
      </w:r>
      <w:r>
        <w:rPr>
          <w:rFonts w:ascii="黑体" w:eastAsia="黑体" w:cs="黑体"/>
          <w:b w:val="0"/>
          <w:bCs w:val="0"/>
          <w:color w:val="000000"/>
          <w:sz w:val="32"/>
          <w:szCs w:val="32"/>
          <w:highlight w:val="none"/>
          <w:lang w:val="en-US" w:eastAsia="zh-CN"/>
        </w:rPr>
        <w:t>第二条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交通领域，</w:t>
      </w:r>
      <w:r>
        <w:rPr>
          <w:rFonts w:hint="eastAsia" w:ascii="仿宋" w:eastAsia="仿宋" w:cs="CESI仿宋-GB2312"/>
          <w:sz w:val="32"/>
          <w:szCs w:val="32"/>
        </w:rPr>
        <w:t>开展好“四好农村路”提升工程。改造农村公路38.9公里，为施工企业做好各项服务工作</w:t>
      </w:r>
      <w:r>
        <w:rPr>
          <w:rFonts w:hint="eastAsia" w:ascii="仿宋" w:eastAsia="仿宋" w:cs="仿宋"/>
          <w:color w:val="000000"/>
          <w:sz w:val="32"/>
          <w:szCs w:val="32"/>
          <w:lang w:val="en-US" w:eastAsia="zh-CN"/>
        </w:rPr>
        <w:t>。</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涞源县域内全部符合条件乡镇。</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sz w:val="32"/>
          <w:szCs w:val="32"/>
          <w:lang w:eastAsia="zh-CN"/>
        </w:rPr>
      </w:pPr>
      <w:r>
        <w:rPr>
          <w:rFonts w:hint="eastAsia" w:ascii="仿宋" w:eastAsia="仿宋" w:cs="仿宋"/>
          <w:sz w:val="32"/>
          <w:szCs w:val="32"/>
          <w:lang w:eastAsia="zh-CN"/>
        </w:rPr>
        <w:t>新进行谋划后进行实施。</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 。</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lang w:val="en-US" w:eastAsia="zh-CN"/>
        </w:rPr>
      </w:pPr>
      <w:r>
        <w:rPr>
          <w:rFonts w:hint="eastAsia" w:ascii="仿宋" w:eastAsia="仿宋" w:cs="仿宋"/>
          <w:color w:val="000000"/>
          <w:sz w:val="32"/>
          <w:szCs w:val="32"/>
          <w:lang w:val="en-US" w:eastAsia="zh-CN"/>
        </w:rPr>
        <w:t xml:space="preserve">责任单位：交通运输局 责任人：李冀敏  联系电话：13833254840  </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03.稳投资政策措施</w:t>
      </w:r>
      <w:r>
        <w:rPr>
          <w:rFonts w:ascii="黑体" w:eastAsia="黑体" w:cs="黑体"/>
          <w:b w:val="0"/>
          <w:bCs w:val="0"/>
          <w:color w:val="000000"/>
          <w:sz w:val="32"/>
          <w:szCs w:val="32"/>
          <w:highlight w:val="none"/>
          <w:lang w:val="en-US" w:eastAsia="zh-CN"/>
        </w:rPr>
        <w:t>第三条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cs="楷体"/>
          <w:color w:val="000000"/>
          <w:sz w:val="32"/>
          <w:szCs w:val="32"/>
          <w:lang w:val="en-US" w:eastAsia="zh-CN"/>
        </w:rPr>
      </w:pPr>
      <w:r>
        <w:rPr>
          <w:rFonts w:hint="eastAsia" w:ascii="仿宋" w:eastAsia="仿宋" w:cs="仿宋"/>
          <w:color w:val="000000"/>
          <w:sz w:val="32"/>
          <w:szCs w:val="32"/>
          <w:lang w:val="en-US" w:eastAsia="zh-CN"/>
        </w:rPr>
        <w:t>能源领域，</w:t>
      </w:r>
      <w:r>
        <w:rPr>
          <w:rFonts w:hint="eastAsia" w:ascii="仿宋" w:eastAsia="仿宋" w:cs="CESI仿宋-GB2312"/>
          <w:sz w:val="32"/>
          <w:szCs w:val="32"/>
        </w:rPr>
        <w:t>加快推进“十四五”期间谋划的风、光、电、储、氢、天然气、生物质、综合能源等省市重点项目实施。鼓励新能源汽车配套基础设施（综合能源站）建设</w:t>
      </w:r>
      <w:r>
        <w:rPr>
          <w:rFonts w:hint="eastAsia" w:ascii="仿宋" w:eastAsia="仿宋" w:cs="CESI仿宋-GB2312"/>
          <w:sz w:val="32"/>
          <w:szCs w:val="32"/>
          <w:lang w:eastAsia="zh-CN"/>
        </w:rPr>
        <w:t>。</w:t>
      </w:r>
      <w:r>
        <w:rPr>
          <w:rFonts w:hint="eastAsia" w:ascii="仿宋" w:eastAsia="仿宋" w:cs="仿宋"/>
          <w:color w:val="000000"/>
          <w:sz w:val="32"/>
          <w:szCs w:val="32"/>
          <w:lang w:val="en-US" w:eastAsia="zh-CN"/>
        </w:rPr>
        <w:t>进一步规范光伏风电接入管理，</w:t>
      </w:r>
      <w:r>
        <w:rPr>
          <w:rFonts w:hint="eastAsia" w:ascii="仿宋" w:eastAsia="仿宋" w:cs="CESI仿宋-GB2312"/>
          <w:sz w:val="32"/>
          <w:szCs w:val="32"/>
          <w:lang w:val="en-US" w:eastAsia="zh-CN"/>
        </w:rPr>
        <w:t>确保新能源项目有序发展。开展新型储能项目的摸底调研，以及后续推进工作。</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涞源县域内全部符合条件企业。</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sz w:val="32"/>
          <w:szCs w:val="32"/>
          <w:lang w:eastAsia="zh-CN"/>
        </w:rPr>
      </w:pPr>
      <w:r>
        <w:rPr>
          <w:rFonts w:hint="eastAsia" w:ascii="仿宋" w:eastAsia="仿宋" w:cs="仿宋"/>
          <w:sz w:val="32"/>
          <w:szCs w:val="32"/>
          <w:lang w:eastAsia="zh-CN"/>
        </w:rPr>
        <w:t>参照</w:t>
      </w:r>
      <w:r>
        <w:rPr>
          <w:rFonts w:hint="eastAsia" w:ascii="仿宋" w:eastAsia="仿宋" w:cs="CESI仿宋-GB2312"/>
          <w:sz w:val="32"/>
          <w:szCs w:val="32"/>
        </w:rPr>
        <w:t>“十四五”</w:t>
      </w:r>
      <w:r>
        <w:rPr>
          <w:rFonts w:hint="eastAsia" w:ascii="仿宋" w:eastAsia="仿宋" w:cs="CESI仿宋-GB2312"/>
          <w:sz w:val="32"/>
          <w:szCs w:val="32"/>
          <w:lang w:eastAsia="zh-CN"/>
        </w:rPr>
        <w:t>规划，确定具体方向，县统一</w:t>
      </w:r>
      <w:r>
        <w:rPr>
          <w:rFonts w:hint="eastAsia" w:ascii="仿宋" w:eastAsia="仿宋" w:cs="仿宋"/>
          <w:sz w:val="32"/>
          <w:szCs w:val="32"/>
          <w:lang w:eastAsia="zh-CN"/>
        </w:rPr>
        <w:t>进行谋划后跟进实施。</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责任单位：县发改局，责任股室：新能源股，责任人：靳瑜，联系电话：13931355095</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04.稳投资政策措施</w:t>
      </w:r>
      <w:r>
        <w:rPr>
          <w:rFonts w:ascii="黑体" w:eastAsia="黑体" w:cs="黑体"/>
          <w:b w:val="0"/>
          <w:bCs w:val="0"/>
          <w:color w:val="000000"/>
          <w:sz w:val="32"/>
          <w:szCs w:val="32"/>
          <w:highlight w:val="none"/>
          <w:lang w:val="en-US" w:eastAsia="zh-CN"/>
        </w:rPr>
        <w:t>第四条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_GB2312"/>
          <w:sz w:val="32"/>
          <w:szCs w:val="32"/>
          <w:lang w:val="en-US" w:eastAsia="zh-CN"/>
        </w:rPr>
      </w:pPr>
      <w:r>
        <w:rPr>
          <w:rFonts w:hint="eastAsia" w:ascii="仿宋" w:eastAsia="仿宋" w:cs="仿宋"/>
          <w:color w:val="000000"/>
          <w:sz w:val="32"/>
          <w:szCs w:val="32"/>
          <w:lang w:val="en-US" w:eastAsia="zh-CN"/>
        </w:rPr>
        <w:t>水利领域，</w:t>
      </w:r>
      <w:r>
        <w:rPr>
          <w:rFonts w:hint="eastAsia" w:ascii="仿宋" w:eastAsia="仿宋" w:cs="仿宋_GB2312"/>
          <w:sz w:val="32"/>
          <w:szCs w:val="32"/>
        </w:rPr>
        <w:t>2022年</w:t>
      </w:r>
      <w:r>
        <w:rPr>
          <w:rFonts w:hint="eastAsia" w:ascii="仿宋" w:eastAsia="仿宋" w:cs="仿宋_GB2312"/>
          <w:sz w:val="32"/>
          <w:szCs w:val="32"/>
          <w:lang w:eastAsia="zh-CN"/>
        </w:rPr>
        <w:t>投资</w:t>
      </w:r>
      <w:r>
        <w:rPr>
          <w:rFonts w:hint="eastAsia" w:ascii="仿宋" w:eastAsia="仿宋" w:cs="仿宋_GB2312"/>
          <w:sz w:val="32"/>
          <w:szCs w:val="32"/>
        </w:rPr>
        <w:t>878万元，实施</w:t>
      </w:r>
      <w:r>
        <w:rPr>
          <w:rFonts w:hint="eastAsia" w:ascii="仿宋" w:eastAsia="仿宋" w:cs="楷体_GB2312"/>
          <w:bCs/>
          <w:sz w:val="32"/>
          <w:szCs w:val="32"/>
        </w:rPr>
        <w:t>农村饮水维修养护和巩固提升工程，对</w:t>
      </w:r>
      <w:r>
        <w:rPr>
          <w:rFonts w:hint="eastAsia" w:ascii="仿宋" w:eastAsia="仿宋" w:cs="仿宋_GB2312"/>
          <w:sz w:val="32"/>
          <w:szCs w:val="32"/>
        </w:rPr>
        <w:t>32处农村饮水工程维修养护，对25处农村饮水安全工程巩固提升。</w:t>
      </w:r>
      <w:r>
        <w:rPr>
          <w:rFonts w:hint="eastAsia" w:ascii="仿宋" w:eastAsia="仿宋" w:cs="仿宋_GB2312"/>
          <w:sz w:val="32"/>
          <w:szCs w:val="32"/>
          <w:lang w:eastAsia="zh-CN"/>
        </w:rPr>
        <w:t>投资</w:t>
      </w:r>
      <w:r>
        <w:rPr>
          <w:rFonts w:hint="eastAsia" w:ascii="仿宋" w:eastAsia="仿宋" w:cs="仿宋_GB2312"/>
          <w:sz w:val="32"/>
          <w:szCs w:val="32"/>
          <w:lang w:val="en-US" w:eastAsia="zh-CN"/>
        </w:rPr>
        <w:t>1亿元，</w:t>
      </w:r>
      <w:r>
        <w:rPr>
          <w:rFonts w:hint="eastAsia" w:ascii="仿宋" w:eastAsia="仿宋" w:cs="仿宋_GB2312"/>
          <w:b w:val="0"/>
          <w:color w:val="000000"/>
          <w:sz w:val="32"/>
          <w:szCs w:val="32"/>
          <w:shd w:val="clear" w:color="auto" w:fill="FFFFFF"/>
          <w:lang w:eastAsia="zh-CN"/>
        </w:rPr>
        <w:t>实施</w:t>
      </w:r>
      <w:r>
        <w:rPr>
          <w:rFonts w:hint="eastAsia" w:ascii="仿宋" w:eastAsia="仿宋" w:cs="仿宋_GB2312"/>
          <w:color w:val="000000"/>
          <w:sz w:val="32"/>
          <w:szCs w:val="32"/>
          <w:lang w:eastAsia="zh-CN"/>
        </w:rPr>
        <w:t>专项债券西神山河治理及周边生态修复工程一期项目。确保一期工程</w:t>
      </w:r>
      <w:r>
        <w:rPr>
          <w:rFonts w:hint="eastAsia" w:ascii="仿宋" w:eastAsia="仿宋" w:cs="仿宋_GB2312"/>
          <w:color w:val="000000"/>
          <w:sz w:val="32"/>
          <w:szCs w:val="32"/>
          <w:lang w:val="en-US" w:eastAsia="zh-CN"/>
        </w:rPr>
        <w:t>2023年年底完工。</w:t>
      </w:r>
      <w:r>
        <w:rPr>
          <w:rFonts w:hint="eastAsia" w:ascii="仿宋" w:eastAsia="仿宋" w:cs="仿宋_GB2312"/>
          <w:sz w:val="32"/>
          <w:szCs w:val="32"/>
          <w:lang w:val="en-US" w:eastAsia="zh-CN"/>
        </w:rPr>
        <w:t>投资</w:t>
      </w:r>
      <w:r>
        <w:rPr>
          <w:rFonts w:hint="eastAsia" w:ascii="仿宋" w:eastAsia="仿宋" w:cs="仿宋_GB2312"/>
          <w:color w:val="000000"/>
          <w:sz w:val="32"/>
          <w:szCs w:val="32"/>
        </w:rPr>
        <w:t>1</w:t>
      </w:r>
      <w:r>
        <w:rPr>
          <w:rFonts w:hint="eastAsia" w:ascii="仿宋" w:eastAsia="仿宋" w:cs="仿宋_GB2312"/>
          <w:color w:val="000000"/>
          <w:sz w:val="32"/>
          <w:szCs w:val="32"/>
          <w:lang w:val="en-US" w:eastAsia="zh-CN"/>
        </w:rPr>
        <w:t>.</w:t>
      </w:r>
      <w:r>
        <w:rPr>
          <w:rFonts w:hint="eastAsia" w:ascii="仿宋" w:eastAsia="仿宋" w:cs="仿宋_GB2312"/>
          <w:color w:val="000000"/>
          <w:sz w:val="32"/>
          <w:szCs w:val="32"/>
        </w:rPr>
        <w:t>1</w:t>
      </w:r>
      <w:r>
        <w:rPr>
          <w:rFonts w:hint="eastAsia" w:ascii="仿宋" w:eastAsia="仿宋" w:cs="仿宋_GB2312"/>
          <w:color w:val="000000"/>
          <w:sz w:val="32"/>
          <w:szCs w:val="32"/>
          <w:lang w:eastAsia="zh-CN"/>
        </w:rPr>
        <w:t>亿</w:t>
      </w:r>
      <w:r>
        <w:rPr>
          <w:rFonts w:hint="eastAsia" w:ascii="仿宋" w:eastAsia="仿宋" w:cs="仿宋_GB2312"/>
          <w:color w:val="000000"/>
          <w:sz w:val="32"/>
          <w:szCs w:val="32"/>
        </w:rPr>
        <w:t>元</w:t>
      </w:r>
      <w:r>
        <w:rPr>
          <w:rFonts w:hint="eastAsia" w:ascii="仿宋" w:eastAsia="仿宋" w:cs="仿宋_GB2312"/>
          <w:color w:val="000000"/>
          <w:sz w:val="32"/>
          <w:szCs w:val="32"/>
          <w:lang w:eastAsia="zh-CN"/>
        </w:rPr>
        <w:t>，实施</w:t>
      </w:r>
      <w:r>
        <w:rPr>
          <w:rFonts w:hint="eastAsia" w:ascii="仿宋" w:eastAsia="仿宋" w:cs="仿宋_GB2312"/>
          <w:color w:val="000000"/>
          <w:sz w:val="32"/>
          <w:szCs w:val="32"/>
        </w:rPr>
        <w:t>涞源县拒马河河道整治及生态修复工程项目</w:t>
      </w:r>
      <w:r>
        <w:rPr>
          <w:rFonts w:hint="eastAsia" w:ascii="仿宋" w:eastAsia="仿宋" w:cs="仿宋_GB2312"/>
          <w:color w:val="000000"/>
          <w:sz w:val="32"/>
          <w:szCs w:val="32"/>
          <w:lang w:eastAsia="zh-CN"/>
        </w:rPr>
        <w:t>，确保</w:t>
      </w:r>
      <w:r>
        <w:rPr>
          <w:rFonts w:hint="eastAsia" w:ascii="仿宋" w:eastAsia="仿宋" w:cs="仿宋_GB2312"/>
          <w:color w:val="000000"/>
          <w:sz w:val="32"/>
          <w:szCs w:val="32"/>
          <w:lang w:val="en-US" w:eastAsia="zh-CN"/>
        </w:rPr>
        <w:t>2022年12月底前完工。</w:t>
      </w:r>
      <w:r>
        <w:rPr>
          <w:rFonts w:hint="eastAsia" w:ascii="仿宋" w:eastAsia="仿宋" w:cs="仿宋_GB2312"/>
          <w:sz w:val="32"/>
          <w:szCs w:val="32"/>
          <w:lang w:val="en-US" w:eastAsia="zh-CN"/>
        </w:rPr>
        <w:t>积极谋划专项债券储备项目涞源县狮子峪沟黄郊村至中庄村段河道治理工程。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涞源县域内全部符合条件乡镇。</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_GB2312" w:eastAsia="仿宋_GB2312" w:cs="仿宋_GB2312"/>
          <w:sz w:val="32"/>
          <w:szCs w:val="32"/>
        </w:rPr>
      </w:pPr>
      <w:r>
        <w:rPr>
          <w:rFonts w:hint="eastAsia" w:ascii="仿宋_GB2312" w:eastAsia="仿宋_GB2312" w:cs="仿宋_GB2312"/>
          <w:sz w:val="32"/>
          <w:szCs w:val="32"/>
        </w:rPr>
        <w:t>2022年投资878万元，实施农村饮水维修养护和巩固提升工程，对32处农村饮水工程维修养护，对25处农村饮水安全工程巩固提升。</w:t>
      </w:r>
      <w:r>
        <w:rPr>
          <w:rFonts w:hint="eastAsia" w:ascii="仿宋_GB2312" w:eastAsia="仿宋_GB2312" w:cs="仿宋_GB2312"/>
          <w:b w:val="0"/>
          <w:bCs w:val="0"/>
          <w:sz w:val="32"/>
          <w:szCs w:val="32"/>
          <w:lang w:val="en-US" w:eastAsia="zh-CN"/>
        </w:rPr>
        <w:t>2022年</w:t>
      </w:r>
      <w:r>
        <w:rPr>
          <w:rFonts w:hint="eastAsia" w:ascii="仿宋_GB2312" w:eastAsia="仿宋_GB2312" w:cs="仿宋_GB2312"/>
          <w:sz w:val="32"/>
          <w:szCs w:val="32"/>
        </w:rPr>
        <w:t>投资1亿元，实施专项债券西神山河治理及周边生态修复工程一期项目。确保一期工程2023年年底完工。</w:t>
      </w:r>
      <w:r>
        <w:rPr>
          <w:rFonts w:hint="eastAsia" w:ascii="仿宋_GB2312" w:eastAsia="仿宋_GB2312" w:cs="仿宋_GB2312"/>
          <w:b w:val="0"/>
          <w:bCs w:val="0"/>
          <w:sz w:val="32"/>
          <w:szCs w:val="32"/>
          <w:lang w:val="en-US" w:eastAsia="zh-CN"/>
        </w:rPr>
        <w:t>2021年</w:t>
      </w:r>
      <w:r>
        <w:rPr>
          <w:rFonts w:hint="eastAsia" w:ascii="仿宋_GB2312" w:eastAsia="仿宋_GB2312" w:cs="仿宋_GB2312"/>
          <w:sz w:val="32"/>
          <w:szCs w:val="32"/>
        </w:rPr>
        <w:t>投资1.1亿元，实施涞源县拒马河河道整治及生态修复工程项目，确保2022年12月底前完工。积极谋划专项债券储备项目涞源县狮子峪沟黄郊村至中庄村段河道治理工程。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319" w:leftChars="152" w:firstLine="320" w:firstLineChars="100"/>
        <w:textAlignment w:val="auto"/>
        <w:rPr>
          <w:rFonts w:hint="eastAsia" w:ascii="仿宋_GB2312" w:eastAsia="仿宋_GB2312" w:cs="仿宋_GB2312"/>
          <w:sz w:val="32"/>
          <w:szCs w:val="32"/>
          <w:lang w:eastAsia="zh-CN"/>
        </w:rPr>
      </w:pPr>
      <w:r>
        <w:rPr>
          <w:rFonts w:hint="eastAsia" w:ascii="仿宋_GB2312" w:eastAsia="仿宋_GB2312" w:cs="仿宋_GB2312"/>
          <w:sz w:val="32"/>
          <w:szCs w:val="32"/>
          <w:lang w:eastAsia="zh-CN"/>
        </w:rPr>
        <w:t>责任单位：县水利局，责任股室：农水股，责任人：杨振东，联系电话：</w:t>
      </w:r>
      <w:r>
        <w:rPr>
          <w:rFonts w:hint="eastAsia" w:ascii="仿宋_GB2312" w:eastAsia="仿宋_GB2312" w:cs="仿宋_GB2312"/>
          <w:sz w:val="32"/>
          <w:szCs w:val="32"/>
          <w:lang w:val="en-US" w:eastAsia="zh-CN"/>
        </w:rPr>
        <w:t>13930828480;</w:t>
      </w:r>
      <w:r>
        <w:rPr>
          <w:rFonts w:hint="eastAsia" w:ascii="仿宋_GB2312" w:eastAsia="仿宋_GB2312" w:cs="仿宋_GB2312"/>
          <w:sz w:val="32"/>
          <w:szCs w:val="32"/>
          <w:lang w:eastAsia="zh-CN"/>
        </w:rPr>
        <w:t>责任股室：水电股，责任人：岳雪萍，联系电话：</w:t>
      </w:r>
      <w:r>
        <w:rPr>
          <w:rFonts w:hint="eastAsia" w:ascii="仿宋_GB2312" w:eastAsia="仿宋_GB2312" w:cs="仿宋_GB2312"/>
          <w:sz w:val="32"/>
          <w:szCs w:val="32"/>
          <w:lang w:val="en-US" w:eastAsia="zh-CN"/>
        </w:rPr>
        <w:t>13831289775;</w:t>
      </w:r>
      <w:r>
        <w:rPr>
          <w:rFonts w:hint="eastAsia" w:ascii="仿宋_GB2312" w:eastAsia="仿宋_GB2312" w:cs="仿宋_GB2312"/>
          <w:sz w:val="32"/>
          <w:szCs w:val="32"/>
          <w:lang w:eastAsia="zh-CN"/>
        </w:rPr>
        <w:t>责任股室：河道办，责任人：王长江，联系电话：</w:t>
      </w:r>
      <w:r>
        <w:rPr>
          <w:rFonts w:hint="eastAsia" w:ascii="仿宋_GB2312" w:eastAsia="仿宋_GB2312" w:cs="仿宋_GB2312"/>
          <w:sz w:val="32"/>
          <w:szCs w:val="32"/>
          <w:lang w:val="en-US" w:eastAsia="zh-CN"/>
        </w:rPr>
        <w:t>15932073999</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05.稳投资政策措施</w:t>
      </w:r>
      <w:r>
        <w:rPr>
          <w:rFonts w:ascii="黑体" w:eastAsia="黑体" w:cs="黑体"/>
          <w:b w:val="0"/>
          <w:bCs w:val="0"/>
          <w:color w:val="000000"/>
          <w:sz w:val="32"/>
          <w:szCs w:val="32"/>
          <w:highlight w:val="none"/>
          <w:lang w:val="en-US" w:eastAsia="zh-CN"/>
        </w:rPr>
        <w:t>第五条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5"/>
        <w:jc w:val="both"/>
        <w:textAlignment w:val="auto"/>
        <w:rPr>
          <w:rFonts w:hint="eastAsia" w:ascii="仿宋" w:eastAsia="仿宋" w:cs="楷体"/>
          <w:color w:val="000000"/>
          <w:sz w:val="32"/>
          <w:szCs w:val="32"/>
          <w:lang w:val="en-US" w:eastAsia="zh-CN"/>
        </w:rPr>
      </w:pPr>
      <w:r>
        <w:rPr>
          <w:rFonts w:hint="eastAsia" w:ascii="仿宋" w:eastAsia="仿宋" w:cs="仿宋"/>
          <w:color w:val="000000"/>
          <w:sz w:val="32"/>
          <w:szCs w:val="32"/>
          <w:lang w:val="en-US" w:eastAsia="zh-CN"/>
        </w:rPr>
        <w:t>推动“双千工程”向“5个1000”升级，</w:t>
      </w:r>
      <w:r>
        <w:rPr>
          <w:rFonts w:hint="eastAsia" w:ascii="仿宋" w:eastAsia="仿宋"/>
          <w:sz w:val="32"/>
          <w:szCs w:val="32"/>
        </w:rPr>
        <w:t>以“开放兴县、项目立县、产业强县”为统领，</w:t>
      </w:r>
      <w:r>
        <w:rPr>
          <w:rFonts w:hint="eastAsia" w:ascii="仿宋" w:eastAsia="仿宋" w:cs="仿宋_GB2312"/>
          <w:b w:val="0"/>
          <w:bCs w:val="0"/>
          <w:i w:val="0"/>
          <w:caps w:val="0"/>
          <w:smallCaps w:val="0"/>
          <w:color w:val="000000"/>
          <w:spacing w:val="0"/>
          <w:kern w:val="0"/>
          <w:sz w:val="32"/>
          <w:szCs w:val="32"/>
          <w:highlight w:val="none"/>
          <w:shd w:val="clear" w:color="auto" w:fill="FFFFFF"/>
          <w:lang w:val="en-US" w:eastAsia="zh-CN"/>
        </w:rPr>
        <w:t>围绕全市“7+18</w:t>
      </w:r>
      <w:r>
        <w:rPr>
          <w:rFonts w:hint="eastAsia" w:ascii="仿宋" w:eastAsia="仿宋"/>
          <w:kern w:val="0"/>
          <w:sz w:val="32"/>
          <w:szCs w:val="32"/>
        </w:rPr>
        <w:t>+</w:t>
      </w:r>
      <w:r>
        <w:rPr>
          <w:rFonts w:hint="eastAsia" w:ascii="仿宋" w:eastAsia="仿宋"/>
          <w:kern w:val="0"/>
          <w:sz w:val="32"/>
          <w:szCs w:val="32"/>
          <w:lang w:val="en-US" w:eastAsia="zh-CN"/>
        </w:rPr>
        <w:t>N</w:t>
      </w:r>
      <w:r>
        <w:rPr>
          <w:rFonts w:hint="eastAsia" w:ascii="仿宋" w:eastAsia="仿宋"/>
          <w:kern w:val="0"/>
          <w:sz w:val="32"/>
          <w:szCs w:val="32"/>
        </w:rPr>
        <w:t>”</w:t>
      </w:r>
      <w:r>
        <w:rPr>
          <w:rFonts w:hint="eastAsia" w:ascii="仿宋" w:eastAsia="仿宋"/>
          <w:kern w:val="0"/>
          <w:sz w:val="32"/>
          <w:szCs w:val="32"/>
          <w:lang w:val="en-US" w:eastAsia="zh-CN"/>
        </w:rPr>
        <w:t>产业方向开展招商，</w:t>
      </w:r>
      <w:r>
        <w:rPr>
          <w:rFonts w:hint="eastAsia" w:ascii="仿宋" w:eastAsia="仿宋" w:cs="仿宋_GB2312"/>
          <w:i w:val="0"/>
          <w:caps w:val="0"/>
          <w:smallCaps w:val="0"/>
          <w:color w:val="000000"/>
          <w:spacing w:val="0"/>
          <w:kern w:val="0"/>
          <w:sz w:val="32"/>
          <w:szCs w:val="32"/>
          <w:highlight w:val="none"/>
          <w:shd w:val="clear" w:color="auto" w:fill="FFFFFF"/>
          <w:lang w:val="en-US" w:eastAsia="zh-CN"/>
        </w:rPr>
        <w:t>加大引企引智力度，注重产业关联和集群打造，共建产业链、共享价值链，实现政企优势互补、促进共同发展。同时，</w:t>
      </w:r>
      <w:r>
        <w:rPr>
          <w:rFonts w:hint="eastAsia" w:ascii="仿宋" w:eastAsia="仿宋" w:cs="仿宋_GB2312"/>
          <w:sz w:val="32"/>
          <w:szCs w:val="32"/>
          <w:highlight w:val="none"/>
          <w:lang w:val="en-US" w:eastAsia="zh-CN"/>
        </w:rPr>
        <w:t>抢抓</w:t>
      </w:r>
      <w:r>
        <w:rPr>
          <w:rFonts w:hint="eastAsia" w:ascii="仿宋" w:eastAsia="仿宋" w:cs="仿宋_GB2312"/>
          <w:sz w:val="32"/>
          <w:szCs w:val="32"/>
          <w:highlight w:val="none"/>
        </w:rPr>
        <w:t>京津冀协同发展和雄安新区</w:t>
      </w:r>
      <w:r>
        <w:rPr>
          <w:rFonts w:hint="eastAsia" w:ascii="仿宋" w:eastAsia="仿宋" w:cs="仿宋_GB2312"/>
          <w:sz w:val="32"/>
          <w:szCs w:val="32"/>
          <w:highlight w:val="none"/>
          <w:lang w:val="en-US" w:eastAsia="zh-CN"/>
        </w:rPr>
        <w:t>集中建设的重大机遇</w:t>
      </w:r>
      <w:r>
        <w:rPr>
          <w:rFonts w:hint="eastAsia" w:ascii="仿宋" w:eastAsia="仿宋" w:cs="仿宋_GB2312"/>
          <w:sz w:val="32"/>
          <w:szCs w:val="32"/>
          <w:highlight w:val="none"/>
        </w:rPr>
        <w:t>，</w:t>
      </w:r>
      <w:r>
        <w:rPr>
          <w:rFonts w:hint="eastAsia" w:ascii="仿宋" w:eastAsia="仿宋"/>
          <w:color w:val="auto"/>
          <w:sz w:val="32"/>
          <w:szCs w:val="32"/>
          <w:lang w:val="en-US" w:eastAsia="zh-CN"/>
        </w:rPr>
        <w:t>积极培育壮大文旅</w:t>
      </w:r>
      <w:r>
        <w:rPr>
          <w:rFonts w:hint="eastAsia" w:ascii="仿宋" w:eastAsia="仿宋"/>
          <w:color w:val="auto"/>
          <w:sz w:val="32"/>
          <w:szCs w:val="32"/>
          <w:highlight w:val="none"/>
          <w:lang w:val="en-US" w:eastAsia="zh-CN"/>
        </w:rPr>
        <w:t>康养</w:t>
      </w:r>
      <w:r>
        <w:rPr>
          <w:rFonts w:hint="eastAsia" w:ascii="仿宋" w:eastAsia="仿宋"/>
          <w:color w:val="auto"/>
          <w:sz w:val="32"/>
          <w:szCs w:val="32"/>
          <w:highlight w:val="none"/>
        </w:rPr>
        <w:t>、新型能源、</w:t>
      </w:r>
      <w:r>
        <w:rPr>
          <w:rFonts w:hint="eastAsia" w:ascii="仿宋" w:eastAsia="仿宋"/>
          <w:color w:val="auto"/>
          <w:sz w:val="32"/>
          <w:szCs w:val="32"/>
          <w:highlight w:val="none"/>
          <w:lang w:val="en-US" w:eastAsia="zh-CN"/>
        </w:rPr>
        <w:t>农产品加工</w:t>
      </w:r>
      <w:r>
        <w:rPr>
          <w:rFonts w:hint="eastAsia" w:ascii="仿宋" w:eastAsia="仿宋"/>
          <w:color w:val="auto"/>
          <w:sz w:val="32"/>
          <w:szCs w:val="32"/>
          <w:highlight w:val="none"/>
          <w:lang w:eastAsia="zh-CN"/>
        </w:rPr>
        <w:t>、</w:t>
      </w:r>
      <w:r>
        <w:rPr>
          <w:rFonts w:hint="eastAsia" w:ascii="仿宋" w:eastAsia="仿宋" w:cs="仿宋_GB2312"/>
          <w:color w:val="auto"/>
          <w:sz w:val="32"/>
          <w:szCs w:val="32"/>
          <w:lang w:val="en-US" w:eastAsia="zh-CN"/>
        </w:rPr>
        <w:t>服装加工、绿色建材、高新技术等</w:t>
      </w:r>
      <w:r>
        <w:rPr>
          <w:rFonts w:hint="eastAsia" w:ascii="仿宋" w:eastAsia="仿宋"/>
          <w:color w:val="auto"/>
          <w:sz w:val="32"/>
          <w:szCs w:val="32"/>
          <w:lang w:val="en-US" w:eastAsia="zh-CN"/>
        </w:rPr>
        <w:t>产业</w:t>
      </w:r>
      <w:r>
        <w:rPr>
          <w:rFonts w:hint="eastAsia" w:ascii="仿宋" w:eastAsia="仿宋"/>
          <w:color w:val="auto"/>
          <w:sz w:val="32"/>
          <w:szCs w:val="32"/>
        </w:rPr>
        <w:t>，</w:t>
      </w:r>
      <w:r>
        <w:rPr>
          <w:rFonts w:hint="eastAsia" w:ascii="仿宋" w:eastAsia="仿宋"/>
          <w:color w:val="auto"/>
          <w:sz w:val="32"/>
          <w:szCs w:val="32"/>
          <w:lang w:val="en-US" w:eastAsia="zh-CN"/>
        </w:rPr>
        <w:t>全力打造县域经济发展新动能</w:t>
      </w:r>
      <w:r>
        <w:rPr>
          <w:rFonts w:hint="eastAsia" w:ascii="仿宋" w:eastAsia="仿宋"/>
          <w:color w:val="auto"/>
          <w:sz w:val="32"/>
          <w:szCs w:val="32"/>
        </w:rPr>
        <w:t>。</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涞源县域内全部符合条件企业。</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sz w:val="32"/>
          <w:szCs w:val="32"/>
          <w:lang w:eastAsia="zh-CN"/>
        </w:rPr>
      </w:pPr>
      <w:r>
        <w:rPr>
          <w:rFonts w:hint="eastAsia" w:ascii="仿宋" w:eastAsia="仿宋" w:cs="仿宋"/>
          <w:sz w:val="32"/>
          <w:szCs w:val="32"/>
          <w:lang w:eastAsia="zh-CN"/>
        </w:rPr>
        <w:t>对照省、市文件，</w:t>
      </w:r>
      <w:r>
        <w:rPr>
          <w:rFonts w:hint="eastAsia" w:ascii="仿宋" w:eastAsia="仿宋"/>
          <w:sz w:val="32"/>
          <w:szCs w:val="32"/>
        </w:rPr>
        <w:t>以“开放兴县、项目立县、产业强县”为统领，</w:t>
      </w:r>
      <w:r>
        <w:rPr>
          <w:rFonts w:hint="eastAsia" w:ascii="仿宋" w:eastAsia="仿宋" w:cs="仿宋_GB2312"/>
          <w:b w:val="0"/>
          <w:bCs w:val="0"/>
          <w:i w:val="0"/>
          <w:caps w:val="0"/>
          <w:smallCaps w:val="0"/>
          <w:color w:val="000000"/>
          <w:spacing w:val="0"/>
          <w:kern w:val="0"/>
          <w:sz w:val="32"/>
          <w:szCs w:val="32"/>
          <w:highlight w:val="none"/>
          <w:shd w:val="clear" w:color="auto" w:fill="FFFFFF"/>
          <w:lang w:val="en-US" w:eastAsia="zh-CN"/>
        </w:rPr>
        <w:t>围绕全市“7+18</w:t>
      </w:r>
      <w:r>
        <w:rPr>
          <w:rFonts w:hint="eastAsia" w:ascii="仿宋" w:eastAsia="仿宋"/>
          <w:kern w:val="0"/>
          <w:sz w:val="32"/>
          <w:szCs w:val="32"/>
        </w:rPr>
        <w:t>+</w:t>
      </w:r>
      <w:r>
        <w:rPr>
          <w:rFonts w:hint="eastAsia" w:ascii="仿宋" w:eastAsia="仿宋"/>
          <w:kern w:val="0"/>
          <w:sz w:val="32"/>
          <w:szCs w:val="32"/>
          <w:lang w:val="en-US" w:eastAsia="zh-CN"/>
        </w:rPr>
        <w:t>N</w:t>
      </w:r>
      <w:r>
        <w:rPr>
          <w:rFonts w:hint="eastAsia" w:ascii="仿宋" w:eastAsia="仿宋"/>
          <w:kern w:val="0"/>
          <w:sz w:val="32"/>
          <w:szCs w:val="32"/>
        </w:rPr>
        <w:t>”</w:t>
      </w:r>
      <w:r>
        <w:rPr>
          <w:rFonts w:hint="eastAsia" w:ascii="仿宋" w:eastAsia="仿宋"/>
          <w:kern w:val="0"/>
          <w:sz w:val="32"/>
          <w:szCs w:val="32"/>
          <w:lang w:val="en-US" w:eastAsia="zh-CN"/>
        </w:rPr>
        <w:t>产业方向开展招商，</w:t>
      </w:r>
      <w:r>
        <w:rPr>
          <w:rFonts w:hint="eastAsia" w:ascii="仿宋" w:eastAsia="仿宋" w:cs="仿宋_GB2312"/>
          <w:i w:val="0"/>
          <w:caps w:val="0"/>
          <w:smallCaps w:val="0"/>
          <w:color w:val="000000"/>
          <w:spacing w:val="0"/>
          <w:kern w:val="0"/>
          <w:sz w:val="32"/>
          <w:szCs w:val="32"/>
          <w:highlight w:val="none"/>
          <w:shd w:val="clear" w:color="auto" w:fill="FFFFFF"/>
          <w:lang w:val="en-US" w:eastAsia="zh-CN"/>
        </w:rPr>
        <w:t>加大引企引智力度，注重产业关联和集群打造，共建产业链、共享价值链，实现政企优势互补、促进共同发展，</w:t>
      </w:r>
      <w:r>
        <w:rPr>
          <w:rFonts w:hint="eastAsia" w:ascii="仿宋" w:eastAsia="仿宋" w:cs="仿宋_GB2312"/>
          <w:sz w:val="32"/>
          <w:szCs w:val="32"/>
          <w:highlight w:val="none"/>
          <w:lang w:val="en-US" w:eastAsia="zh-CN"/>
        </w:rPr>
        <w:t>抢抓</w:t>
      </w:r>
      <w:r>
        <w:rPr>
          <w:rFonts w:hint="eastAsia" w:ascii="仿宋" w:eastAsia="仿宋" w:cs="仿宋_GB2312"/>
          <w:sz w:val="32"/>
          <w:szCs w:val="32"/>
          <w:highlight w:val="none"/>
        </w:rPr>
        <w:t>京津冀协同发展和雄安新区</w:t>
      </w:r>
      <w:r>
        <w:rPr>
          <w:rFonts w:hint="eastAsia" w:ascii="仿宋" w:eastAsia="仿宋" w:cs="仿宋_GB2312"/>
          <w:sz w:val="32"/>
          <w:szCs w:val="32"/>
          <w:highlight w:val="none"/>
          <w:lang w:val="en-US" w:eastAsia="zh-CN"/>
        </w:rPr>
        <w:t>集中建设的重大机遇</w:t>
      </w:r>
      <w:r>
        <w:rPr>
          <w:rFonts w:hint="eastAsia" w:ascii="仿宋" w:eastAsia="仿宋" w:cs="仿宋_GB2312"/>
          <w:sz w:val="32"/>
          <w:szCs w:val="32"/>
          <w:highlight w:val="none"/>
        </w:rPr>
        <w:t>，</w:t>
      </w:r>
      <w:r>
        <w:rPr>
          <w:rFonts w:hint="eastAsia" w:ascii="仿宋" w:eastAsia="仿宋"/>
          <w:color w:val="auto"/>
          <w:sz w:val="32"/>
          <w:szCs w:val="32"/>
          <w:lang w:val="en-US" w:eastAsia="zh-CN"/>
        </w:rPr>
        <w:t>积极培育壮大文旅</w:t>
      </w:r>
      <w:r>
        <w:rPr>
          <w:rFonts w:hint="eastAsia" w:ascii="仿宋" w:eastAsia="仿宋"/>
          <w:color w:val="auto"/>
          <w:sz w:val="32"/>
          <w:szCs w:val="32"/>
          <w:highlight w:val="none"/>
          <w:lang w:val="en-US" w:eastAsia="zh-CN"/>
        </w:rPr>
        <w:t>康养</w:t>
      </w:r>
      <w:r>
        <w:rPr>
          <w:rFonts w:hint="eastAsia" w:ascii="仿宋" w:eastAsia="仿宋"/>
          <w:color w:val="auto"/>
          <w:sz w:val="32"/>
          <w:szCs w:val="32"/>
          <w:highlight w:val="none"/>
        </w:rPr>
        <w:t>、新型能源、</w:t>
      </w:r>
      <w:r>
        <w:rPr>
          <w:rFonts w:hint="eastAsia" w:ascii="仿宋" w:eastAsia="仿宋"/>
          <w:color w:val="auto"/>
          <w:sz w:val="32"/>
          <w:szCs w:val="32"/>
          <w:highlight w:val="none"/>
          <w:lang w:val="en-US" w:eastAsia="zh-CN"/>
        </w:rPr>
        <w:t>农产品加工</w:t>
      </w:r>
      <w:r>
        <w:rPr>
          <w:rFonts w:hint="eastAsia" w:ascii="仿宋" w:eastAsia="仿宋"/>
          <w:color w:val="auto"/>
          <w:sz w:val="32"/>
          <w:szCs w:val="32"/>
          <w:highlight w:val="none"/>
          <w:lang w:eastAsia="zh-CN"/>
        </w:rPr>
        <w:t>、</w:t>
      </w:r>
      <w:r>
        <w:rPr>
          <w:rFonts w:hint="eastAsia" w:ascii="仿宋" w:eastAsia="仿宋" w:cs="仿宋_GB2312"/>
          <w:color w:val="auto"/>
          <w:sz w:val="32"/>
          <w:szCs w:val="32"/>
          <w:lang w:val="en-US" w:eastAsia="zh-CN"/>
        </w:rPr>
        <w:t>服装加工、绿色建材、高新技术等</w:t>
      </w:r>
      <w:r>
        <w:rPr>
          <w:rFonts w:hint="eastAsia" w:ascii="仿宋" w:eastAsia="仿宋"/>
          <w:color w:val="auto"/>
          <w:sz w:val="32"/>
          <w:szCs w:val="32"/>
          <w:lang w:val="en-US" w:eastAsia="zh-CN"/>
        </w:rPr>
        <w:t>产业</w:t>
      </w:r>
      <w:r>
        <w:rPr>
          <w:rFonts w:hint="eastAsia" w:ascii="仿宋" w:eastAsia="仿宋"/>
          <w:color w:val="auto"/>
          <w:sz w:val="32"/>
          <w:szCs w:val="32"/>
        </w:rPr>
        <w:t>，</w:t>
      </w:r>
      <w:r>
        <w:rPr>
          <w:rFonts w:hint="eastAsia" w:ascii="仿宋" w:eastAsia="仿宋"/>
          <w:color w:val="auto"/>
          <w:sz w:val="32"/>
          <w:szCs w:val="32"/>
          <w:lang w:val="en-US" w:eastAsia="zh-CN"/>
        </w:rPr>
        <w:t>全力打造县域经济发展新动能</w:t>
      </w:r>
      <w:r>
        <w:rPr>
          <w:rFonts w:hint="eastAsia" w:ascii="仿宋" w:eastAsia="仿宋"/>
          <w:color w:val="auto"/>
          <w:sz w:val="32"/>
          <w:szCs w:val="32"/>
        </w:rPr>
        <w:t>。</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lang w:val="en-US" w:eastAsia="zh-CN"/>
        </w:rPr>
      </w:pPr>
      <w:r>
        <w:rPr>
          <w:rFonts w:hint="eastAsia" w:ascii="仿宋" w:eastAsia="仿宋" w:cs="仿宋"/>
          <w:color w:val="000000"/>
          <w:sz w:val="32"/>
          <w:szCs w:val="32"/>
          <w:lang w:val="en-US" w:eastAsia="zh-CN"/>
        </w:rPr>
        <w:t>责任单位：县发改局，责任股室：项目负责中心，责任人：龙世伟，联系电话：18633200725</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color w:val="auto"/>
          <w:lang w:val="en-US" w:eastAsia="zh-CN"/>
        </w:rPr>
      </w:pPr>
      <w:r>
        <w:rPr>
          <w:rFonts w:hint="eastAsia" w:ascii="黑体" w:eastAsia="黑体" w:cs="黑体"/>
          <w:b w:val="0"/>
          <w:bCs w:val="0"/>
          <w:color w:val="000000"/>
          <w:sz w:val="32"/>
          <w:szCs w:val="32"/>
          <w:highlight w:val="none"/>
          <w:lang w:val="en-US" w:eastAsia="zh-CN"/>
        </w:rPr>
        <w:t>06.稳投资政策措施</w:t>
      </w:r>
      <w:r>
        <w:rPr>
          <w:rFonts w:ascii="黑体" w:eastAsia="黑体" w:cs="黑体"/>
          <w:b w:val="0"/>
          <w:bCs w:val="0"/>
          <w:color w:val="000000"/>
          <w:sz w:val="32"/>
          <w:szCs w:val="32"/>
          <w:highlight w:val="none"/>
          <w:lang w:val="en-US" w:eastAsia="zh-CN"/>
        </w:rPr>
        <w:t>第六条</w:t>
      </w:r>
    </w:p>
    <w:p>
      <w:pPr>
        <w:keepNext w:val="0"/>
        <w:keepLines w:val="0"/>
        <w:pageBreakBefore w:val="0"/>
        <w:widowControl w:val="0"/>
        <w:numPr>
          <w:ilvl w:val="0"/>
          <w:numId w:val="1"/>
        </w:numPr>
        <w:suppressAutoHyphens/>
        <w:kinsoku/>
        <w:wordWrap/>
        <w:overflowPunct/>
        <w:topLinePunct w:val="0"/>
        <w:autoSpaceDE/>
        <w:autoSpaceDN/>
        <w:bidi w:val="0"/>
        <w:spacing w:line="560" w:lineRule="exact"/>
        <w:ind w:left="0" w:firstLine="640" w:firstLineChars="200"/>
        <w:jc w:val="both"/>
        <w:textAlignment w:val="auto"/>
        <w:rPr>
          <w:rFonts w:hint="eastAsia" w:ascii="黑体" w:eastAsia="黑体" w:cs="黑体"/>
          <w:b w:val="0"/>
          <w:bCs w:val="0"/>
          <w:sz w:val="32"/>
          <w:szCs w:val="32"/>
        </w:rPr>
      </w:pPr>
      <w:r>
        <w:rPr>
          <w:rFonts w:hint="eastAsia" w:ascii="黑体" w:eastAsia="黑体" w:cs="黑体"/>
          <w:b w:val="0"/>
          <w:bCs w:val="0"/>
          <w:sz w:val="32"/>
          <w:szCs w:val="32"/>
        </w:rPr>
        <w:t>政策内容</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ascii="仿宋" w:eastAsia="仿宋" w:cs="仿宋"/>
          <w:b w:val="0"/>
          <w:bCs w:val="0"/>
          <w:color w:val="000000"/>
          <w:sz w:val="32"/>
          <w:szCs w:val="32"/>
          <w:lang w:val="en-US" w:eastAsia="zh-CN"/>
        </w:rPr>
      </w:pPr>
      <w:r>
        <w:rPr>
          <w:rFonts w:hint="eastAsia" w:ascii="仿宋" w:eastAsia="仿宋" w:cs="仿宋"/>
          <w:b w:val="0"/>
          <w:bCs w:val="0"/>
          <w:color w:val="000000"/>
          <w:sz w:val="32"/>
          <w:szCs w:val="32"/>
          <w:lang w:val="en-US" w:eastAsia="zh-CN"/>
        </w:rPr>
        <w:t>扎实推进企业投资项目“代办制”、政府投资项目“代建制”，各行业主管部门、乡镇人民政府和经济开发区组织专门力量，点对点为各类项目提供“保姆式”服务，加快推进项目前期工作。认真落实国家、省出台的精简报批政策，鼓励进一步探索审批事项并联、“承诺制＋容缺后补”审批、多评合一等方式，缩短办理时间，提高审批效率。</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黑体" w:eastAsia="黑体" w:cs="黑体"/>
          <w:b w:val="0"/>
          <w:bCs w:val="0"/>
          <w:sz w:val="32"/>
          <w:szCs w:val="32"/>
        </w:rPr>
      </w:pPr>
      <w:r>
        <w:rPr>
          <w:rFonts w:hint="eastAsia" w:ascii="黑体" w:eastAsia="黑体" w:cs="黑体"/>
          <w:b w:val="0"/>
          <w:bCs w:val="0"/>
          <w:sz w:val="32"/>
          <w:szCs w:val="32"/>
          <w:lang w:val="en-US" w:eastAsia="zh-CN"/>
        </w:rPr>
        <w:t>二、</w:t>
      </w:r>
      <w:r>
        <w:rPr>
          <w:rFonts w:hint="eastAsia" w:ascii="黑体" w:eastAsia="黑体" w:cs="黑体"/>
          <w:b w:val="0"/>
          <w:bCs w:val="0"/>
          <w:sz w:val="32"/>
          <w:szCs w:val="32"/>
        </w:rPr>
        <w:t>适用对象</w:t>
      </w:r>
    </w:p>
    <w:p>
      <w:pPr>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仿宋" w:eastAsia="仿宋"/>
          <w:sz w:val="32"/>
          <w:szCs w:val="32"/>
        </w:rPr>
      </w:pPr>
      <w:r>
        <w:rPr>
          <w:rFonts w:hint="eastAsia" w:ascii="仿宋" w:eastAsia="仿宋"/>
          <w:sz w:val="32"/>
          <w:szCs w:val="32"/>
        </w:rPr>
        <w:t>各类投资项目</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黑体" w:eastAsia="黑体" w:cs="黑体"/>
          <w:b w:val="0"/>
          <w:bCs w:val="0"/>
          <w:sz w:val="32"/>
          <w:szCs w:val="32"/>
        </w:rPr>
      </w:pPr>
      <w:r>
        <w:rPr>
          <w:rFonts w:hint="eastAsia" w:ascii="黑体" w:eastAsia="黑体" w:cs="黑体"/>
          <w:b w:val="0"/>
          <w:bCs w:val="0"/>
          <w:sz w:val="32"/>
          <w:szCs w:val="32"/>
          <w:lang w:val="en-US" w:eastAsia="zh-CN"/>
        </w:rPr>
        <w:t>三、</w:t>
      </w:r>
      <w:r>
        <w:rPr>
          <w:rFonts w:hint="eastAsia" w:ascii="黑体" w:eastAsia="黑体" w:cs="黑体"/>
          <w:b w:val="0"/>
          <w:bCs w:val="0"/>
          <w:sz w:val="32"/>
          <w:szCs w:val="32"/>
        </w:rPr>
        <w:t>操作流程</w:t>
      </w:r>
    </w:p>
    <w:p>
      <w:pPr>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仿宋" w:eastAsia="仿宋" w:cs="仿宋"/>
          <w:color w:val="000000"/>
          <w:sz w:val="32"/>
          <w:szCs w:val="32"/>
          <w:lang w:val="en-US" w:eastAsia="zh-CN"/>
        </w:rPr>
      </w:pPr>
      <w:r>
        <w:rPr>
          <w:rFonts w:hint="eastAsia" w:ascii="仿宋" w:eastAsia="仿宋" w:cs="仿宋"/>
          <w:b w:val="0"/>
          <w:bCs w:val="0"/>
          <w:color w:val="000000"/>
          <w:sz w:val="32"/>
          <w:szCs w:val="32"/>
          <w:lang w:val="en-US" w:eastAsia="zh-CN"/>
        </w:rPr>
        <w:t>全面推行“不见面”审批，严格落实项目在线申报、在线审批、在线政策解答、在线评审等。</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黑体" w:eastAsia="黑体" w:cs="黑体"/>
          <w:b w:val="0"/>
          <w:bCs w:val="0"/>
          <w:sz w:val="32"/>
          <w:szCs w:val="32"/>
        </w:rPr>
      </w:pPr>
      <w:r>
        <w:rPr>
          <w:rFonts w:hint="eastAsia" w:ascii="黑体" w:eastAsia="黑体" w:cs="黑体"/>
          <w:b w:val="0"/>
          <w:bCs w:val="0"/>
          <w:sz w:val="32"/>
          <w:szCs w:val="32"/>
          <w:lang w:val="en-US" w:eastAsia="zh-CN"/>
        </w:rPr>
        <w:t>四、</w:t>
      </w:r>
      <w:r>
        <w:rPr>
          <w:rFonts w:hint="eastAsia" w:ascii="黑体" w:eastAsia="黑体" w:cs="黑体"/>
          <w:b w:val="0"/>
          <w:bCs w:val="0"/>
          <w:sz w:val="32"/>
          <w:szCs w:val="32"/>
        </w:rPr>
        <w:t>兑现时间</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仿宋" w:eastAsia="仿宋" w:cs="仿宋"/>
          <w:b w:val="0"/>
          <w:bCs w:val="0"/>
          <w:color w:val="000000"/>
          <w:sz w:val="32"/>
          <w:szCs w:val="32"/>
          <w:lang w:val="en-US" w:eastAsia="zh-CN"/>
        </w:rPr>
      </w:pPr>
      <w:r>
        <w:rPr>
          <w:rFonts w:hint="eastAsia" w:ascii="仿宋" w:eastAsia="仿宋" w:cs="仿宋"/>
          <w:b w:val="0"/>
          <w:bCs w:val="0"/>
          <w:color w:val="000000"/>
          <w:sz w:val="32"/>
          <w:szCs w:val="32"/>
          <w:lang w:val="en-US" w:eastAsia="zh-CN"/>
        </w:rPr>
        <w:t>2022年6月至2022年12月</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黑体" w:eastAsia="黑体" w:cs="黑体"/>
          <w:b w:val="0"/>
          <w:bCs w:val="0"/>
          <w:sz w:val="32"/>
          <w:szCs w:val="32"/>
        </w:rPr>
      </w:pPr>
      <w:r>
        <w:rPr>
          <w:rFonts w:hint="eastAsia" w:ascii="黑体" w:eastAsia="黑体" w:cs="黑体"/>
          <w:b w:val="0"/>
          <w:bCs w:val="0"/>
          <w:sz w:val="32"/>
          <w:szCs w:val="32"/>
          <w:lang w:val="en-US" w:eastAsia="zh-CN"/>
        </w:rPr>
        <w:t>五、</w:t>
      </w:r>
      <w:r>
        <w:rPr>
          <w:rFonts w:hint="eastAsia" w:ascii="黑体" w:eastAsia="黑体" w:cs="黑体"/>
          <w:b w:val="0"/>
          <w:bCs w:val="0"/>
          <w:sz w:val="32"/>
          <w:szCs w:val="32"/>
        </w:rPr>
        <w:t>责任分工</w:t>
      </w:r>
    </w:p>
    <w:p>
      <w:pPr>
        <w:pStyle w:val="2"/>
        <w:keepNext w:val="0"/>
        <w:keepLines w:val="0"/>
        <w:pageBreakBefore w:val="0"/>
        <w:widowControl w:val="0"/>
        <w:suppressAutoHyphens/>
        <w:kinsoku/>
        <w:wordWrap/>
        <w:overflowPunct/>
        <w:topLinePunct w:val="0"/>
        <w:autoSpaceDE/>
        <w:autoSpaceDN/>
        <w:bidi w:val="0"/>
        <w:adjustRightInd/>
        <w:snapToGrid/>
        <w:spacing w:line="560" w:lineRule="exact"/>
        <w:ind w:firstLine="640" w:firstLineChars="200"/>
        <w:jc w:val="both"/>
        <w:textAlignment w:val="auto"/>
        <w:rPr>
          <w:rFonts w:hint="eastAsia" w:ascii="仿宋" w:eastAsia="仿宋"/>
          <w:b w:val="0"/>
          <w:bCs w:val="0"/>
          <w:sz w:val="32"/>
          <w:szCs w:val="32"/>
        </w:rPr>
      </w:pPr>
      <w:r>
        <w:rPr>
          <w:rFonts w:hint="eastAsia" w:ascii="仿宋" w:eastAsia="仿宋"/>
          <w:b w:val="0"/>
          <w:bCs w:val="0"/>
          <w:sz w:val="32"/>
          <w:szCs w:val="32"/>
          <w:lang w:val="en-US" w:eastAsia="zh-CN"/>
        </w:rPr>
        <w:t>行政审批局</w:t>
      </w:r>
      <w:r>
        <w:rPr>
          <w:rFonts w:hint="eastAsia" w:ascii="仿宋" w:eastAsia="仿宋"/>
          <w:b w:val="0"/>
          <w:bCs w:val="0"/>
          <w:sz w:val="32"/>
          <w:szCs w:val="32"/>
        </w:rPr>
        <w:t>联系</w:t>
      </w:r>
      <w:r>
        <w:rPr>
          <w:rFonts w:hint="eastAsia" w:ascii="仿宋" w:eastAsia="仿宋"/>
          <w:b w:val="0"/>
          <w:bCs w:val="0"/>
          <w:sz w:val="32"/>
          <w:szCs w:val="32"/>
          <w:lang w:eastAsia="zh-CN"/>
        </w:rPr>
        <w:t>人：</w:t>
      </w:r>
      <w:r>
        <w:rPr>
          <w:rFonts w:hint="eastAsia" w:ascii="仿宋" w:eastAsia="仿宋"/>
          <w:b w:val="0"/>
          <w:bCs w:val="0"/>
          <w:sz w:val="32"/>
          <w:szCs w:val="32"/>
        </w:rPr>
        <w:t xml:space="preserve">曹小敏 </w:t>
      </w:r>
      <w:r>
        <w:rPr>
          <w:rFonts w:hint="eastAsia" w:ascii="仿宋" w:eastAsia="仿宋"/>
          <w:b w:val="0"/>
          <w:bCs w:val="0"/>
          <w:sz w:val="32"/>
          <w:szCs w:val="32"/>
          <w:lang w:val="en-US" w:eastAsia="zh-CN"/>
        </w:rPr>
        <w:t xml:space="preserve"> </w:t>
      </w:r>
      <w:bookmarkStart w:id="0" w:name="_GoBack"/>
      <w:bookmarkEnd w:id="0"/>
      <w:r>
        <w:rPr>
          <w:rFonts w:hint="eastAsia" w:ascii="仿宋" w:eastAsia="仿宋"/>
          <w:b w:val="0"/>
          <w:bCs w:val="0"/>
          <w:sz w:val="32"/>
          <w:szCs w:val="32"/>
          <w:lang w:eastAsia="zh-CN"/>
        </w:rPr>
        <w:t>联系电话</w:t>
      </w:r>
      <w:r>
        <w:rPr>
          <w:rFonts w:hint="eastAsia" w:ascii="仿宋" w:eastAsia="仿宋"/>
          <w:b w:val="0"/>
          <w:bCs w:val="0"/>
          <w:sz w:val="32"/>
          <w:szCs w:val="32"/>
        </w:rPr>
        <w:t>0312-7844610-8046</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07.稳投资政策措施</w:t>
      </w:r>
      <w:r>
        <w:rPr>
          <w:rFonts w:ascii="黑体" w:eastAsia="黑体" w:cs="黑体"/>
          <w:b w:val="0"/>
          <w:bCs w:val="0"/>
          <w:color w:val="000000"/>
          <w:sz w:val="32"/>
          <w:szCs w:val="32"/>
          <w:highlight w:val="none"/>
          <w:lang w:val="en-US" w:eastAsia="zh-CN"/>
        </w:rPr>
        <w:t>第七条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 w:eastAsia="仿宋"/>
          <w:sz w:val="32"/>
          <w:szCs w:val="32"/>
        </w:rPr>
      </w:pPr>
      <w:r>
        <w:rPr>
          <w:rFonts w:hint="eastAsia" w:ascii="仿宋" w:eastAsia="仿宋"/>
          <w:sz w:val="32"/>
          <w:szCs w:val="32"/>
        </w:rPr>
        <w:t>全力推进总投资17.8亿元的开发区基础设施建设工程，累计投资2.89亿元完成污水处理厂、主干路南区段、经十二、纬十七、冯村沟桥单体工程建设，总投资2.23亿元的一号主干路北区、净水厂、供水配套提升工程8月底全部竣工，为大项目入区落地提供了坚实保障。</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sz w:val="32"/>
          <w:szCs w:val="32"/>
          <w:lang w:val="en-US" w:eastAsia="zh-CN"/>
        </w:rPr>
      </w:pPr>
      <w:r>
        <w:rPr>
          <w:rFonts w:hint="eastAsia" w:ascii="仿宋" w:eastAsia="仿宋" w:cs="仿宋"/>
          <w:sz w:val="32"/>
          <w:szCs w:val="32"/>
          <w:lang w:val="en-US" w:eastAsia="zh-CN"/>
        </w:rPr>
        <w:t>开发区</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b w:val="0"/>
          <w:bCs w:val="0"/>
          <w:color w:val="000000"/>
          <w:sz w:val="32"/>
          <w:szCs w:val="32"/>
          <w:highlight w:val="none"/>
          <w:lang w:val="en-US" w:eastAsia="zh-CN"/>
        </w:rPr>
      </w:pPr>
      <w:r>
        <w:rPr>
          <w:rFonts w:hint="eastAsia" w:ascii="仿宋" w:eastAsia="仿宋" w:cs="仿宋"/>
          <w:b w:val="0"/>
          <w:bCs w:val="0"/>
          <w:color w:val="000000"/>
          <w:sz w:val="32"/>
          <w:szCs w:val="32"/>
          <w:highlight w:val="none"/>
          <w:lang w:val="en-US" w:eastAsia="zh-CN"/>
        </w:rPr>
        <w:t>县发改局负责政策解释，由住建、交通提出方案，在发改审批实施。</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2035年底前。</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责任单位：县发改局，责任股室：基本建设投资股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责任人：吉彦涛，联系电话：13131278925</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责任单位：交通运输局 责任人：李冀敏  </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联系电话：13833254840 </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 xml:space="preserve">责任单位：住房和城乡建设局 责任人：刘少俊  </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联系电话：15932186366</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08-1.稳投资政策措施</w:t>
      </w:r>
      <w:r>
        <w:rPr>
          <w:rFonts w:ascii="黑体" w:eastAsia="黑体" w:cs="黑体"/>
          <w:b w:val="0"/>
          <w:bCs w:val="0"/>
          <w:color w:val="000000"/>
          <w:sz w:val="32"/>
          <w:szCs w:val="32"/>
          <w:highlight w:val="none"/>
          <w:lang w:val="en-US" w:eastAsia="zh-CN"/>
        </w:rPr>
        <w:t>第八条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企业申请产业项目用地，县自然资源和规划局涉及部门根据产业项目生命周期灵活采用长期租赁、先租后让、弹性年期方式供应土地。土地使用权人已依法取得的国有划拨或租赁用地申请补办出让手续，依法批准，可以采用协议方式出让。</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申请对象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产业项目用地单位</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操作流程</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结合产业生命周期，合理选择土地供应方式，发布土地出让公告。产业项目用地单位提出竞买申请，按规定要求参与竞买土地，竞得土地后签订出让合同并缴纳相关税费。已取得的国有划拨或租赁用地的土地使用权人向县自然资源和规划局涉及部门申请补办出让手续。</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联系</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08-2.稳投资政策措施</w:t>
      </w:r>
      <w:r>
        <w:rPr>
          <w:rFonts w:ascii="黑体" w:eastAsia="黑体" w:cs="黑体"/>
          <w:b w:val="0"/>
          <w:bCs w:val="0"/>
          <w:color w:val="000000"/>
          <w:sz w:val="32"/>
          <w:szCs w:val="32"/>
          <w:highlight w:val="none"/>
          <w:lang w:val="en-US" w:eastAsia="zh-CN"/>
        </w:rPr>
        <w:t>第八条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对省确定的优先发展产业且用地集约的工业项目，林、牧、渔业产品初加工为主的工业项目，在确定土地出让底价时，可按不低于所在地土地等别相对应《全国工业用地出让最低价标准》的70%执行。按比例计算后低于该项目实际土地取得成本、土地前期开发成本和按规定应收取的相关费用之和的，按不低于实际各项成本费用之和的原则确定出让底价。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申报对象 </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省确定的优先发展产业且用地集约的工业项目用地单位，以农、林、牧、渔业产品初加工为主的工业项目用地单位。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操作流程 </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 xml:space="preserve">县自然资源和规划局涉及部门在确定土地出让底价时，对省确定的优先发展产业且用地集约的工业项目，以及以农、林、牧、渔业产品初加工为主的工业项目的出让底价可按不低于所在地土地等别相对应《全国工业用地出让最低价标准》的70%执行确定出让底价，但按比例计算后不得低于该项目实际土地取得成本、土地前期开发成本和按规定应收取的相关费用之和。 </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ind w:firstLine="640" w:firstLineChars="200"/>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rPr>
        <w:t>县自然资源和规划局涉及部门</w:t>
      </w:r>
      <w:r>
        <w:rPr>
          <w:rFonts w:hint="eastAsia" w:ascii="仿宋_GB2312" w:eastAsia="仿宋_GB2312"/>
          <w:color w:val="000000"/>
          <w:sz w:val="32"/>
          <w:szCs w:val="32"/>
          <w:lang w:val="en-US" w:eastAsia="zh-CN"/>
        </w:rPr>
        <w:t>。</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联系</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08-3.稳投资政策措施</w:t>
      </w:r>
      <w:r>
        <w:rPr>
          <w:rFonts w:ascii="黑体" w:eastAsia="黑体" w:cs="黑体"/>
          <w:b w:val="0"/>
          <w:bCs w:val="0"/>
          <w:color w:val="000000"/>
          <w:sz w:val="32"/>
          <w:szCs w:val="32"/>
          <w:highlight w:val="none"/>
          <w:lang w:val="en-US" w:eastAsia="zh-CN"/>
        </w:rPr>
        <w:t>第八条</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政策内容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在符合国土空间规划、不改变用途的前提下，企业在现</w:t>
      </w:r>
    </w:p>
    <w:p>
      <w:pPr>
        <w:tabs>
          <w:tab w:val="left" w:pos="140"/>
        </w:tabs>
        <w:rPr>
          <w:rFonts w:hint="eastAsia" w:ascii="仿宋_GB2312" w:eastAsia="仿宋_GB2312"/>
          <w:color w:val="000000"/>
          <w:sz w:val="32"/>
        </w:rPr>
      </w:pPr>
      <w:r>
        <w:rPr>
          <w:rFonts w:hint="eastAsia" w:ascii="仿宋_GB2312" w:eastAsia="仿宋_GB2312"/>
          <w:color w:val="000000"/>
          <w:sz w:val="32"/>
        </w:rPr>
        <w:t xml:space="preserve">有工业用地上新建、扩建生产性用房或利用地下空间，增加容积率的，不再补缴土地价款。 </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申报对象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现有工业企业。 </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三</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 xml:space="preserve">操作流程 </w:t>
      </w:r>
    </w:p>
    <w:p>
      <w:pPr>
        <w:tabs>
          <w:tab w:val="left" w:pos="140"/>
        </w:tabs>
        <w:ind w:firstLine="640" w:firstLineChars="200"/>
        <w:rPr>
          <w:rFonts w:hint="eastAsia" w:ascii="仿宋_GB2312" w:eastAsia="仿宋_GB2312"/>
          <w:color w:val="000000"/>
          <w:sz w:val="32"/>
        </w:rPr>
      </w:pPr>
      <w:r>
        <w:rPr>
          <w:rFonts w:hint="eastAsia" w:ascii="仿宋_GB2312" w:eastAsia="仿宋_GB2312"/>
          <w:color w:val="000000"/>
          <w:sz w:val="32"/>
        </w:rPr>
        <w:t>现有工业企业向地县自然资源和规划局涉及部门申请，待县自然资源和规划局涉及部门按规定审批同意后，即可新建、扩建生产性用房和利用地下空间。</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联系</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08-4.稳投资政策措施</w:t>
      </w:r>
      <w:r>
        <w:rPr>
          <w:rFonts w:ascii="黑体" w:eastAsia="黑体" w:cs="黑体"/>
          <w:b w:val="0"/>
          <w:bCs w:val="0"/>
          <w:color w:val="000000"/>
          <w:sz w:val="32"/>
          <w:szCs w:val="32"/>
          <w:highlight w:val="none"/>
          <w:lang w:val="en-US" w:eastAsia="zh-CN"/>
        </w:rPr>
        <w:t>第八条</w:t>
      </w:r>
    </w:p>
    <w:p>
      <w:pPr>
        <w:tabs>
          <w:tab w:val="left" w:pos="40"/>
        </w:tabs>
        <w:ind w:firstLine="640" w:firstLineChars="200"/>
        <w:rPr>
          <w:rFonts w:hint="eastAsia" w:ascii="仿宋_GB2312" w:eastAsia="仿宋_GB2312"/>
          <w:color w:val="000000"/>
          <w:sz w:val="32"/>
        </w:rPr>
      </w:pPr>
      <w:r>
        <w:rPr>
          <w:rFonts w:hint="eastAsia" w:ascii="黑体" w:eastAsia="黑体" w:cs="黑体"/>
          <w:b w:val="0"/>
          <w:bCs w:val="0"/>
          <w:color w:val="000000"/>
          <w:sz w:val="32"/>
          <w:szCs w:val="32"/>
          <w:highlight w:val="none"/>
          <w:lang w:val="en-US" w:eastAsia="zh-CN"/>
        </w:rPr>
        <w:t xml:space="preserve">一、政策内容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利用存量房产、土地资源发展国家支持产业、行业的，可享受在5年内不改变用地主体和规划条件的过渡期支持政策。 </w:t>
      </w:r>
    </w:p>
    <w:p>
      <w:pPr>
        <w:tabs>
          <w:tab w:val="left" w:pos="40"/>
        </w:tabs>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 xml:space="preserve">二、申报对象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现有用地单位。 </w:t>
      </w:r>
    </w:p>
    <w:p>
      <w:pPr>
        <w:tabs>
          <w:tab w:val="left" w:pos="40"/>
        </w:tabs>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 xml:space="preserve">三、操作流程 </w:t>
      </w:r>
    </w:p>
    <w:p>
      <w:pPr>
        <w:tabs>
          <w:tab w:val="left" w:pos="40"/>
        </w:tabs>
        <w:ind w:firstLine="640" w:firstLineChars="200"/>
        <w:rPr>
          <w:rFonts w:hint="eastAsia" w:ascii="仿宋_GB2312" w:eastAsia="仿宋_GB2312"/>
          <w:color w:val="000000"/>
          <w:sz w:val="32"/>
        </w:rPr>
      </w:pPr>
      <w:r>
        <w:rPr>
          <w:rFonts w:hint="eastAsia" w:ascii="仿宋_GB2312" w:eastAsia="仿宋_GB2312"/>
          <w:color w:val="000000"/>
          <w:sz w:val="32"/>
        </w:rPr>
        <w:t xml:space="preserve">现有工业企业向县自然资源涉及部门申请，待县自然资源主管部门按规定审批同意后，即可发展国家支持产业、行业，并允许在5年内不改变用地主体和规划条件。 </w:t>
      </w:r>
    </w:p>
    <w:p>
      <w:pPr>
        <w:tabs>
          <w:tab w:val="left" w:pos="40"/>
        </w:tabs>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四</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兑现时间</w:t>
      </w:r>
    </w:p>
    <w:p>
      <w:pPr>
        <w:ind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2022年6月2日至2022年12月31日</w:t>
      </w:r>
    </w:p>
    <w:p>
      <w:pPr>
        <w:numPr>
          <w:ilvl w:val="0"/>
          <w:numId w:val="2"/>
        </w:numPr>
        <w:ind w:left="0"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职责分工</w:t>
      </w:r>
    </w:p>
    <w:p>
      <w:pPr>
        <w:ind w:left="0" w:firstLine="640" w:firstLineChars="200"/>
        <w:rPr>
          <w:rFonts w:hint="eastAsia" w:ascii="仿宋_GB2312" w:eastAsia="仿宋_GB2312"/>
          <w:color w:val="000000"/>
          <w:sz w:val="32"/>
          <w:szCs w:val="32"/>
          <w:lang w:val="en-US"/>
        </w:rPr>
      </w:pPr>
      <w:r>
        <w:rPr>
          <w:rFonts w:hint="eastAsia" w:ascii="仿宋_GB2312" w:eastAsia="仿宋_GB2312"/>
          <w:color w:val="000000"/>
          <w:sz w:val="32"/>
          <w:szCs w:val="32"/>
          <w:lang w:val="en-US"/>
        </w:rPr>
        <w:t>县自然资源和规划局涉及部门</w:t>
      </w:r>
    </w:p>
    <w:p>
      <w:pPr>
        <w:ind w:firstLine="640" w:firstLineChars="200"/>
        <w:rPr>
          <w:rFonts w:hint="eastAsia"/>
          <w:lang w:val="en-US" w:eastAsia="zh-CN"/>
        </w:rPr>
      </w:pPr>
      <w:r>
        <w:rPr>
          <w:rFonts w:hint="eastAsia" w:ascii="仿宋_GB2312" w:eastAsia="仿宋_GB2312"/>
          <w:color w:val="000000"/>
          <w:sz w:val="32"/>
          <w:szCs w:val="32"/>
          <w:lang w:val="en-US"/>
        </w:rPr>
        <w:t>联系人：贾丽芳</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0312-7318724</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08-5.稳投资政策措施</w:t>
      </w:r>
      <w:r>
        <w:rPr>
          <w:rFonts w:ascii="黑体" w:eastAsia="黑体" w:cs="黑体"/>
          <w:b w:val="0"/>
          <w:bCs w:val="0"/>
          <w:color w:val="000000"/>
          <w:sz w:val="32"/>
          <w:szCs w:val="32"/>
          <w:highlight w:val="none"/>
          <w:lang w:val="en-US" w:eastAsia="zh-CN"/>
        </w:rPr>
        <w:t>第八条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rPr>
        <w:t>一</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免收小微企业不动产登记费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rPr>
        <w:t>二</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申请对象</w:t>
      </w:r>
    </w:p>
    <w:p>
      <w:pPr>
        <w:ind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小微企业、个体工商</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三、</w:t>
      </w:r>
      <w:r>
        <w:rPr>
          <w:rFonts w:hint="eastAsia" w:ascii="黑体" w:eastAsia="黑体" w:cs="黑体"/>
          <w:b w:val="0"/>
          <w:bCs w:val="0"/>
          <w:color w:val="000000"/>
          <w:sz w:val="32"/>
          <w:szCs w:val="32"/>
          <w:highlight w:val="none"/>
          <w:lang w:val="en-US"/>
        </w:rPr>
        <w:t>操作流程</w:t>
      </w:r>
    </w:p>
    <w:p>
      <w:pPr>
        <w:ind w:left="0"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小微企业作出书面承诺后，即免收相应的不动产登记费。</w:t>
      </w:r>
    </w:p>
    <w:p>
      <w:pPr>
        <w:ind w:left="0"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个体工商户凭工商营业执照直接减免不动产登记费。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四、</w:t>
      </w:r>
      <w:r>
        <w:rPr>
          <w:rFonts w:hint="eastAsia" w:ascii="黑体" w:eastAsia="黑体" w:cs="黑体"/>
          <w:b w:val="0"/>
          <w:bCs w:val="0"/>
          <w:color w:val="000000"/>
          <w:sz w:val="32"/>
          <w:szCs w:val="32"/>
          <w:highlight w:val="none"/>
          <w:lang w:val="en-US"/>
        </w:rPr>
        <w:t>兑现时间</w:t>
      </w:r>
    </w:p>
    <w:p>
      <w:pPr>
        <w:ind w:left="0"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eastAsia="zh-CN"/>
        </w:rPr>
        <w:t>2022年6月2日至2022年12月31日</w:t>
      </w:r>
    </w:p>
    <w:p>
      <w:pPr>
        <w:ind w:firstLine="640" w:firstLineChars="200"/>
        <w:rPr>
          <w:rFonts w:hint="eastAsia" w:ascii="仿宋_GB2312" w:eastAsia="仿宋_GB2312"/>
          <w:color w:val="000000"/>
          <w:sz w:val="32"/>
          <w:szCs w:val="32"/>
          <w:lang w:val="en-US"/>
        </w:rPr>
      </w:pPr>
      <w:r>
        <w:rPr>
          <w:rFonts w:hint="eastAsia" w:ascii="黑体" w:eastAsia="黑体" w:cs="黑体"/>
          <w:b w:val="0"/>
          <w:bCs w:val="0"/>
          <w:color w:val="000000"/>
          <w:sz w:val="32"/>
          <w:szCs w:val="32"/>
          <w:highlight w:val="none"/>
          <w:lang w:val="en-US"/>
        </w:rPr>
        <w:t>五</w:t>
      </w:r>
      <w:r>
        <w:rPr>
          <w:rFonts w:hint="eastAsia" w:ascii="黑体" w:eastAsia="黑体" w:cs="黑体"/>
          <w:b w:val="0"/>
          <w:bCs w:val="0"/>
          <w:color w:val="000000"/>
          <w:sz w:val="32"/>
          <w:szCs w:val="32"/>
          <w:highlight w:val="none"/>
          <w:lang w:val="en-US" w:eastAsia="zh-CN"/>
        </w:rPr>
        <w:t>、</w:t>
      </w:r>
      <w:r>
        <w:rPr>
          <w:rFonts w:hint="eastAsia" w:ascii="黑体" w:eastAsia="黑体" w:cs="黑体"/>
          <w:b w:val="0"/>
          <w:bCs w:val="0"/>
          <w:color w:val="000000"/>
          <w:sz w:val="32"/>
          <w:szCs w:val="32"/>
          <w:highlight w:val="none"/>
          <w:lang w:val="en-US"/>
        </w:rPr>
        <w:t>职责分工</w:t>
      </w:r>
    </w:p>
    <w:p>
      <w:pPr>
        <w:ind w:firstLine="640" w:firstLineChars="200"/>
        <w:rPr>
          <w:rFonts w:ascii="仿宋_GB2312" w:eastAsia="仿宋_GB2312"/>
          <w:color w:val="000000"/>
          <w:sz w:val="32"/>
          <w:szCs w:val="32"/>
          <w:lang w:val="en-US" w:eastAsia="zh-CN"/>
        </w:rPr>
      </w:pPr>
      <w:r>
        <w:rPr>
          <w:rFonts w:hint="eastAsia" w:ascii="仿宋_GB2312" w:eastAsia="仿宋_GB2312"/>
          <w:color w:val="000000"/>
          <w:sz w:val="32"/>
          <w:szCs w:val="32"/>
          <w:lang w:val="en-US"/>
        </w:rPr>
        <w:t>县自然资源和规划局涉及部门</w:t>
      </w:r>
      <w:r>
        <w:rPr>
          <w:rFonts w:hint="eastAsia" w:ascii="仿宋_GB2312" w:eastAsia="仿宋_GB2312"/>
          <w:color w:val="000000"/>
          <w:sz w:val="32"/>
          <w:szCs w:val="32"/>
          <w:lang w:val="en-US" w:eastAsia="zh-CN"/>
        </w:rPr>
        <w:t>负责政策的宣传、落实和解释工作。</w:t>
      </w:r>
    </w:p>
    <w:p>
      <w:pPr>
        <w:ind w:firstLine="640" w:firstLineChars="200"/>
        <w:rPr>
          <w:rFonts w:hint="eastAsia"/>
          <w:lang w:val="en-US" w:eastAsia="zh-CN"/>
        </w:rPr>
      </w:pPr>
      <w:r>
        <w:rPr>
          <w:rFonts w:hint="eastAsia" w:ascii="仿宋_GB2312" w:eastAsia="仿宋_GB2312"/>
          <w:color w:val="000000"/>
          <w:sz w:val="32"/>
          <w:szCs w:val="32"/>
          <w:lang w:val="en-US"/>
        </w:rPr>
        <w:t>联系人：</w:t>
      </w:r>
      <w:r>
        <w:rPr>
          <w:rFonts w:hint="eastAsia" w:ascii="仿宋_GB2312" w:eastAsia="仿宋_GB2312"/>
          <w:color w:val="000000"/>
          <w:sz w:val="32"/>
          <w:szCs w:val="32"/>
          <w:lang w:val="en-US" w:eastAsia="zh-CN"/>
        </w:rPr>
        <w:t xml:space="preserve">徐志伟    </w:t>
      </w:r>
      <w:r>
        <w:rPr>
          <w:rFonts w:hint="eastAsia" w:ascii="仿宋_GB2312" w:eastAsia="仿宋_GB2312"/>
          <w:color w:val="000000"/>
          <w:sz w:val="32"/>
          <w:szCs w:val="32"/>
          <w:lang w:val="en-US"/>
        </w:rPr>
        <w:t>电话：</w:t>
      </w:r>
      <w:r>
        <w:rPr>
          <w:rFonts w:hint="eastAsia" w:ascii="仿宋_GB2312" w:eastAsia="仿宋_GB2312"/>
          <w:color w:val="000000"/>
          <w:sz w:val="32"/>
          <w:szCs w:val="32"/>
          <w:lang w:val="en-US" w:eastAsia="zh-CN"/>
        </w:rPr>
        <w:t>0312-7333252</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08-6.稳投资政策措施</w:t>
      </w:r>
      <w:r>
        <w:rPr>
          <w:rFonts w:ascii="黑体" w:eastAsia="黑体" w:cs="黑体"/>
          <w:b w:val="0"/>
          <w:bCs w:val="0"/>
          <w:color w:val="000000"/>
          <w:sz w:val="32"/>
          <w:szCs w:val="32"/>
          <w:highlight w:val="none"/>
          <w:lang w:val="en-US" w:eastAsia="zh-CN"/>
        </w:rPr>
        <w:t>第八条</w:t>
      </w:r>
    </w:p>
    <w:p>
      <w:pPr>
        <w:ind w:firstLine="640" w:firstLineChars="200"/>
        <w:rPr>
          <w:rFonts w:hint="eastAsia" w:ascii="黑体" w:eastAsia="黑体" w:cs="黑体"/>
          <w:b w:val="0"/>
          <w:bCs w:val="0"/>
          <w:color w:val="000000"/>
          <w:sz w:val="32"/>
          <w:szCs w:val="32"/>
          <w:highlight w:val="none"/>
          <w:lang w:val="en-US"/>
        </w:rPr>
      </w:pPr>
      <w:r>
        <w:rPr>
          <w:rFonts w:hint="eastAsia" w:ascii="黑体" w:eastAsia="黑体" w:cs="黑体"/>
          <w:b w:val="0"/>
          <w:bCs w:val="0"/>
          <w:color w:val="000000"/>
          <w:sz w:val="32"/>
          <w:szCs w:val="32"/>
          <w:highlight w:val="none"/>
          <w:lang w:val="en-US" w:eastAsia="zh-CN"/>
        </w:rPr>
        <w:t>一、</w:t>
      </w:r>
      <w:r>
        <w:rPr>
          <w:rFonts w:hint="eastAsia" w:ascii="黑体" w:eastAsia="黑体" w:cs="黑体"/>
          <w:b w:val="0"/>
          <w:bCs w:val="0"/>
          <w:color w:val="000000"/>
          <w:sz w:val="32"/>
          <w:szCs w:val="32"/>
          <w:highlight w:val="none"/>
          <w:lang w:val="en-US"/>
        </w:rPr>
        <w:t>政策内容</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支持土地用途兼容复合利用，新产业工业项目用地的生产服务、行政办公、生活服务设施建筑面积占项目总建筑面积比例不超过15%仍按工业用途管理。科教用地可兼容研发与中试、科技服务设施与项目及生活性服务设施，兼容设施建筑面积比例不得超过项目总建筑面积的15%，兼容用途土地、房产不得分割转让。</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二、申报对象</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现有用地单位。</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现有工业企业向地方自然资源主管部门申请，自然资源主管部门按规定审批。</w:t>
      </w:r>
    </w:p>
    <w:p>
      <w:pPr>
        <w:ind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2022年6月2日至2022年12月31日</w:t>
      </w:r>
    </w:p>
    <w:p>
      <w:pPr>
        <w:numPr>
          <w:ilvl w:val="0"/>
          <w:numId w:val="2"/>
        </w:numPr>
        <w:ind w:left="0" w:firstLine="640" w:firstLineChars="2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职责分工</w:t>
      </w:r>
    </w:p>
    <w:p>
      <w:pPr>
        <w:ind w:firstLine="640" w:firstLineChars="200"/>
        <w:rPr>
          <w:rFonts w:hint="eastAsia" w:ascii="仿宋" w:eastAsia="仿宋" w:cs="仿宋"/>
          <w:color w:val="000000"/>
          <w:sz w:val="32"/>
          <w:szCs w:val="32"/>
        </w:rPr>
      </w:pPr>
      <w:r>
        <w:rPr>
          <w:rFonts w:hint="eastAsia" w:ascii="仿宋" w:eastAsia="仿宋" w:cs="仿宋"/>
          <w:color w:val="000000"/>
          <w:sz w:val="32"/>
          <w:szCs w:val="32"/>
        </w:rPr>
        <w:t>涞源县自然资源和规划局相关股室</w:t>
      </w:r>
    </w:p>
    <w:p>
      <w:pPr>
        <w:ind w:firstLine="640" w:firstLineChars="200"/>
        <w:rPr>
          <w:rFonts w:hint="eastAsia"/>
          <w:lang w:val="en-US" w:eastAsia="zh-CN"/>
        </w:rPr>
      </w:pPr>
      <w:r>
        <w:rPr>
          <w:rFonts w:hint="eastAsia" w:ascii="仿宋" w:eastAsia="仿宋" w:cs="仿宋"/>
          <w:color w:val="000000"/>
          <w:sz w:val="32"/>
          <w:szCs w:val="32"/>
        </w:rPr>
        <w:t>联系人：刘小龙</w:t>
      </w:r>
      <w:r>
        <w:rPr>
          <w:rFonts w:hint="eastAsia" w:ascii="仿宋" w:eastAsia="仿宋" w:cs="仿宋"/>
          <w:color w:val="000000"/>
          <w:sz w:val="32"/>
          <w:szCs w:val="32"/>
          <w:lang w:val="en-US" w:eastAsia="zh-CN"/>
        </w:rPr>
        <w:t xml:space="preserve">    </w:t>
      </w:r>
      <w:r>
        <w:rPr>
          <w:rFonts w:hint="eastAsia" w:ascii="仿宋" w:eastAsia="仿宋" w:cs="仿宋"/>
          <w:color w:val="000000"/>
          <w:sz w:val="32"/>
          <w:szCs w:val="32"/>
        </w:rPr>
        <w:t>电话：13472280820</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08-7.稳投资政策措施</w:t>
      </w:r>
      <w:r>
        <w:rPr>
          <w:rFonts w:ascii="黑体" w:eastAsia="黑体" w:cs="黑体"/>
          <w:b w:val="0"/>
          <w:bCs w:val="0"/>
          <w:color w:val="000000"/>
          <w:sz w:val="32"/>
          <w:szCs w:val="32"/>
          <w:highlight w:val="none"/>
          <w:lang w:val="en-US" w:eastAsia="zh-CN"/>
        </w:rPr>
        <w:t>第八条</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adjustRightInd w:val="0"/>
        <w:snapToGrid w:val="0"/>
        <w:spacing w:line="500" w:lineRule="exact"/>
        <w:ind w:left="0" w:firstLine="640" w:firstLineChars="200"/>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简化项目用地审批，在符合国土空间规划管控规则、不占耕地和永久基本农田的前提下，以下使用农用地或未利用地的项目，可按原地类认定和管理，不再办理转用征收手续：旅游项目中属于自然景观用地及农牧渔业种植、养殖用地的；经县相关部门认定为仅在年度内特定旅游季节使用土地的乡村旅游停车设施，不使用永久基本农田，不破坏生态与景观环境、不影响地质安全、不影响农业种植、不硬化地面、不建设永久设施的；对自驾车旅居车营地的特定功能区，使用未利用地不改变土地用途、不固化地面的；对利用现有山川水面建设冰雪场地设施，不占压土地、不改变地表形态的。</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二、申报对象</w:t>
      </w:r>
    </w:p>
    <w:p>
      <w:pPr>
        <w:pStyle w:val="7"/>
        <w:rPr>
          <w:rFonts w:hint="eastAsia" w:ascii="仿宋" w:eastAsia="仿宋" w:cs="仿宋"/>
          <w:b w:val="0"/>
          <w:bCs/>
          <w:color w:val="000000"/>
          <w:sz w:val="32"/>
          <w:szCs w:val="32"/>
          <w:lang w:val="en-US" w:eastAsia="zh-CN"/>
        </w:rPr>
      </w:pPr>
      <w:r>
        <w:rPr>
          <w:rFonts w:hint="eastAsia" w:ascii="仿宋" w:eastAsia="仿宋" w:cs="仿宋"/>
          <w:color w:val="000000"/>
          <w:lang w:val="en-US" w:eastAsia="zh-CN"/>
        </w:rPr>
        <w:t xml:space="preserve">  </w:t>
      </w:r>
      <w:r>
        <w:rPr>
          <w:rFonts w:hint="eastAsia" w:ascii="仿宋" w:eastAsia="仿宋" w:cs="仿宋"/>
          <w:b w:val="0"/>
          <w:bCs/>
          <w:color w:val="000000"/>
          <w:sz w:val="32"/>
          <w:szCs w:val="32"/>
          <w:lang w:val="en-US" w:eastAsia="zh-CN"/>
        </w:rPr>
        <w:t>产业项目用地单位。</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pStyle w:val="7"/>
        <w:rPr>
          <w:rFonts w:hint="eastAsia" w:ascii="仿宋" w:eastAsia="仿宋" w:cs="仿宋"/>
          <w:b w:val="0"/>
          <w:bCs/>
          <w:color w:val="000000"/>
          <w:sz w:val="32"/>
          <w:szCs w:val="32"/>
          <w:lang w:val="en-US" w:eastAsia="zh-CN"/>
        </w:rPr>
      </w:pPr>
      <w:r>
        <w:rPr>
          <w:rFonts w:hint="eastAsia" w:ascii="仿宋" w:eastAsia="仿宋" w:cs="仿宋"/>
          <w:b w:val="0"/>
          <w:bCs/>
          <w:color w:val="000000"/>
          <w:sz w:val="32"/>
          <w:szCs w:val="32"/>
          <w:lang w:val="en-US" w:eastAsia="zh-CN"/>
        </w:rPr>
        <w:t>产业项目申请用地对符合政策规定的，在符合国土空间规划管控规则、不占耕地和永久基本农田的前提下，使用农用地或未利用地的项目，按原地类认定和管理。</w:t>
      </w:r>
    </w:p>
    <w:p>
      <w:pPr>
        <w:ind w:left="420" w:leftChars="200" w:firstLine="320" w:firstLineChars="100"/>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pStyle w:val="7"/>
        <w:ind w:left="0" w:firstLine="640" w:firstLineChars="200"/>
        <w:rPr>
          <w:rFonts w:hint="eastAsia" w:ascii="仿宋" w:eastAsia="仿宋" w:cs="仿宋"/>
          <w:b w:val="0"/>
          <w:bCs/>
          <w:color w:val="000000"/>
          <w:sz w:val="32"/>
          <w:szCs w:val="32"/>
          <w:lang w:val="en-US" w:eastAsia="zh-CN"/>
        </w:rPr>
      </w:pPr>
      <w:r>
        <w:rPr>
          <w:rFonts w:hint="eastAsia" w:ascii="仿宋" w:eastAsia="仿宋" w:cs="仿宋"/>
          <w:b w:val="0"/>
          <w:bCs/>
          <w:color w:val="000000"/>
          <w:sz w:val="32"/>
          <w:szCs w:val="32"/>
          <w:lang w:val="en-US" w:eastAsia="zh-CN"/>
        </w:rPr>
        <w:t>2022年8月9日至2022年12月31日</w:t>
      </w:r>
    </w:p>
    <w:p>
      <w:pPr>
        <w:pStyle w:val="6"/>
        <w:ind w:left="0" w:firstLine="640" w:firstLineChars="200"/>
        <w:rPr>
          <w:rFonts w:hint="eastAsia" w:ascii="仿宋" w:eastAsia="仿宋" w:cs="仿宋"/>
          <w:b w:val="0"/>
          <w:bCs w:val="0"/>
          <w:color w:val="000000"/>
          <w:sz w:val="32"/>
          <w:szCs w:val="32"/>
          <w:lang w:val="en-US" w:eastAsia="zh-CN"/>
        </w:rPr>
      </w:pPr>
      <w:r>
        <w:rPr>
          <w:rFonts w:hint="eastAsia" w:ascii="黑体" w:eastAsia="黑体" w:cs="黑体"/>
          <w:b w:val="0"/>
          <w:bCs w:val="0"/>
          <w:color w:val="000000"/>
          <w:kern w:val="2"/>
          <w:sz w:val="32"/>
          <w:szCs w:val="32"/>
          <w:highlight w:val="none"/>
          <w:lang w:val="en-US" w:eastAsia="zh-CN" w:bidi="ar-SA"/>
        </w:rPr>
        <w:t>五、职责分工</w:t>
      </w:r>
    </w:p>
    <w:p>
      <w:pPr>
        <w:pStyle w:val="7"/>
        <w:rPr>
          <w:rFonts w:hint="eastAsia" w:ascii="仿宋" w:eastAsia="仿宋" w:cs="仿宋"/>
          <w:b w:val="0"/>
          <w:bCs/>
          <w:color w:val="000000"/>
          <w:sz w:val="32"/>
          <w:szCs w:val="32"/>
          <w:lang w:val="en-US" w:eastAsia="zh-CN"/>
        </w:rPr>
      </w:pPr>
      <w:r>
        <w:rPr>
          <w:rFonts w:hint="eastAsia" w:ascii="仿宋" w:eastAsia="仿宋" w:cs="仿宋"/>
          <w:b w:val="0"/>
          <w:bCs/>
          <w:color w:val="000000"/>
          <w:sz w:val="32"/>
          <w:szCs w:val="32"/>
          <w:lang w:val="en-US" w:eastAsia="zh-CN"/>
        </w:rPr>
        <w:t>涞源县自然资源和规划局相关股室</w:t>
      </w:r>
    </w:p>
    <w:p>
      <w:pPr>
        <w:pStyle w:val="6"/>
        <w:ind w:left="0" w:firstLine="640" w:firstLineChars="200"/>
        <w:rPr>
          <w:lang w:val="en-US" w:eastAsia="zh-CN"/>
        </w:rPr>
      </w:pPr>
      <w:r>
        <w:rPr>
          <w:rFonts w:hint="eastAsia" w:ascii="仿宋" w:eastAsia="仿宋" w:cs="仿宋"/>
          <w:color w:val="000000"/>
          <w:sz w:val="32"/>
          <w:szCs w:val="32"/>
          <w:lang w:val="en-US" w:eastAsia="zh-CN"/>
        </w:rPr>
        <w:t>联系人：张媛媛 仲泽昆  联系</w:t>
      </w:r>
      <w:r>
        <w:rPr>
          <w:rFonts w:hint="eastAsia" w:ascii="仿宋" w:eastAsia="仿宋" w:cs="仿宋"/>
          <w:b w:val="0"/>
          <w:bCs/>
          <w:color w:val="000000"/>
          <w:sz w:val="32"/>
          <w:szCs w:val="32"/>
          <w:lang w:val="en-US" w:eastAsia="zh-CN"/>
        </w:rPr>
        <w:t>电话：0312-731870</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仿宋_GB2312" w:eastAsia="仿宋_GB2312"/>
          <w:b/>
          <w:bCs/>
          <w:color w:val="000000"/>
          <w:sz w:val="32"/>
          <w:szCs w:val="32"/>
          <w:lang w:val="en-US"/>
        </w:rPr>
      </w:pPr>
      <w:r>
        <w:rPr>
          <w:rFonts w:hint="eastAsia" w:ascii="黑体" w:eastAsia="黑体" w:cs="黑体"/>
          <w:b w:val="0"/>
          <w:bCs w:val="0"/>
          <w:color w:val="000000"/>
          <w:sz w:val="32"/>
          <w:szCs w:val="32"/>
          <w:highlight w:val="none"/>
          <w:lang w:val="en-US" w:eastAsia="zh-CN"/>
        </w:rPr>
        <w:t>09.稳投资政策措施</w:t>
      </w:r>
      <w:r>
        <w:rPr>
          <w:rFonts w:ascii="黑体" w:eastAsia="黑体" w:cs="黑体"/>
          <w:b w:val="0"/>
          <w:bCs w:val="0"/>
          <w:color w:val="000000"/>
          <w:sz w:val="32"/>
          <w:szCs w:val="32"/>
          <w:highlight w:val="none"/>
          <w:lang w:val="en-US" w:eastAsia="zh-CN"/>
        </w:rPr>
        <w:t>第九条</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0" w:firstLine="640" w:firstLineChars="200"/>
        <w:textAlignment w:val="auto"/>
        <w:rPr>
          <w:rFonts w:ascii="仿宋" w:eastAsia="仿宋" w:cs="楷体"/>
          <w:sz w:val="32"/>
          <w:szCs w:val="32"/>
        </w:rPr>
      </w:pPr>
      <w:r>
        <w:rPr>
          <w:rFonts w:hint="eastAsia" w:ascii="仿宋" w:eastAsia="仿宋" w:cs="仿宋"/>
          <w:sz w:val="32"/>
          <w:szCs w:val="32"/>
        </w:rPr>
        <w:t>建立项目建设“白名单”制度，对列入“白名单”的重大项目，经过行业主管部门批准，将符合环保要求的项目纳入正面清单，在环保管控时限内支持其持续建设。新建项目能耗强度低于当地且不高于全省“十四五”末目标值的，一律不受能耗增量指标限制。对纳入国家和省级规划的重大项目实行能耗单列。</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仿宋"/>
          <w:sz w:val="32"/>
          <w:szCs w:val="32"/>
        </w:rPr>
      </w:pPr>
      <w:r>
        <w:rPr>
          <w:rFonts w:hint="eastAsia" w:ascii="仿宋" w:eastAsia="仿宋" w:cs="仿宋"/>
          <w:sz w:val="32"/>
          <w:szCs w:val="32"/>
        </w:rPr>
        <w:t>1.符合项目建设“白名单”制度并列入“白名单”的重大项目。</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仿宋"/>
          <w:sz w:val="32"/>
          <w:szCs w:val="32"/>
        </w:rPr>
      </w:pPr>
      <w:r>
        <w:rPr>
          <w:rFonts w:hint="eastAsia" w:ascii="仿宋" w:eastAsia="仿宋" w:cs="仿宋"/>
          <w:sz w:val="32"/>
          <w:szCs w:val="32"/>
        </w:rPr>
        <w:t>2.能耗强度低于当地且不高于全省“十四五”末目标值的新建项目。</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仿宋"/>
          <w:sz w:val="32"/>
          <w:szCs w:val="32"/>
        </w:rPr>
      </w:pPr>
      <w:r>
        <w:rPr>
          <w:rFonts w:hint="eastAsia" w:ascii="仿宋" w:eastAsia="仿宋" w:cs="仿宋"/>
          <w:sz w:val="32"/>
          <w:szCs w:val="32"/>
        </w:rPr>
        <w:t>3.被纳入国家和省级规划的重大项目。</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630"/>
        <w:textAlignment w:val="auto"/>
        <w:rPr>
          <w:rFonts w:hint="eastAsia" w:ascii="仿宋" w:eastAsia="仿宋" w:cs="楷体"/>
          <w:sz w:val="32"/>
          <w:szCs w:val="32"/>
        </w:rPr>
      </w:pPr>
      <w:r>
        <w:rPr>
          <w:rFonts w:hint="eastAsia" w:ascii="仿宋" w:eastAsia="仿宋" w:cs="楷体"/>
          <w:sz w:val="32"/>
          <w:szCs w:val="32"/>
        </w:rPr>
        <w:t>符合条件的建设项目向县发改局、县生态环境局提出申</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textAlignment w:val="auto"/>
        <w:rPr>
          <w:rFonts w:hint="eastAsia" w:ascii="仿宋" w:eastAsia="仿宋" w:cs="楷体"/>
          <w:sz w:val="32"/>
          <w:szCs w:val="32"/>
        </w:rPr>
      </w:pPr>
      <w:r>
        <w:rPr>
          <w:rFonts w:hint="eastAsia" w:ascii="仿宋" w:eastAsia="仿宋" w:cs="楷体"/>
          <w:sz w:val="32"/>
          <w:szCs w:val="32"/>
        </w:rPr>
        <w:t>请，经审核通过后列入“白名单”建设项目。</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630"/>
        <w:textAlignment w:val="auto"/>
        <w:rPr>
          <w:rFonts w:ascii="仿宋" w:eastAsia="仿宋" w:cs="楷体"/>
          <w:sz w:val="32"/>
          <w:szCs w:val="32"/>
        </w:rPr>
      </w:pPr>
      <w:r>
        <w:rPr>
          <w:rFonts w:hint="eastAsia" w:ascii="仿宋" w:eastAsia="仿宋" w:cs="CESI仿宋-GB2312"/>
          <w:sz w:val="32"/>
          <w:szCs w:val="32"/>
        </w:rPr>
        <w:t>县生态环境局7个工作日内进行审核。</w:t>
      </w:r>
    </w:p>
    <w:p>
      <w:pPr>
        <w:keepNext w:val="0"/>
        <w:keepLines w:val="0"/>
        <w:pageBreakBefore w:val="0"/>
        <w:widowControl w:val="0"/>
        <w:suppressAutoHyphens/>
        <w:kinsoku/>
        <w:wordWrap/>
        <w:overflowPunct/>
        <w:topLinePunct w:val="0"/>
        <w:autoSpaceDE/>
        <w:autoSpaceDN/>
        <w:bidi w:val="0"/>
        <w:spacing w:line="560" w:lineRule="exact"/>
        <w:ind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楷体"/>
          <w:sz w:val="32"/>
          <w:szCs w:val="32"/>
        </w:rPr>
      </w:pPr>
      <w:r>
        <w:rPr>
          <w:rFonts w:hint="eastAsia" w:ascii="仿宋" w:eastAsia="仿宋" w:cs="楷体"/>
          <w:sz w:val="32"/>
          <w:szCs w:val="32"/>
        </w:rPr>
        <w:t>县发改局，县生态环境局。</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159" w:leftChars="76" w:firstLine="480" w:firstLineChars="150"/>
        <w:textAlignment w:val="auto"/>
        <w:rPr>
          <w:rFonts w:hint="eastAsia" w:ascii="仿宋" w:eastAsia="仿宋" w:cs="楷体"/>
          <w:sz w:val="32"/>
          <w:szCs w:val="32"/>
        </w:rPr>
      </w:pPr>
      <w:r>
        <w:rPr>
          <w:rFonts w:hint="eastAsia" w:ascii="仿宋" w:eastAsia="仿宋" w:cs="楷体"/>
          <w:sz w:val="32"/>
          <w:szCs w:val="32"/>
        </w:rPr>
        <w:t>联系人：县发改局基本建设投资股股长</w:t>
      </w:r>
      <w:r>
        <w:rPr>
          <w:rFonts w:hint="eastAsia" w:ascii="仿宋" w:eastAsia="仿宋" w:cs="楷体"/>
          <w:sz w:val="32"/>
          <w:szCs w:val="32"/>
          <w:lang w:val="en-US" w:eastAsia="zh-CN"/>
        </w:rPr>
        <w:t xml:space="preserve">  </w:t>
      </w:r>
      <w:r>
        <w:rPr>
          <w:rFonts w:hint="eastAsia" w:ascii="仿宋" w:eastAsia="仿宋" w:cs="楷体"/>
          <w:sz w:val="32"/>
          <w:szCs w:val="32"/>
        </w:rPr>
        <w:t xml:space="preserve">吉彦涛                             </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159" w:leftChars="76" w:firstLine="1760" w:firstLineChars="550"/>
        <w:textAlignment w:val="auto"/>
        <w:rPr>
          <w:rFonts w:hint="eastAsia" w:ascii="仿宋" w:eastAsia="仿宋" w:cs="楷体"/>
          <w:sz w:val="32"/>
          <w:szCs w:val="32"/>
        </w:rPr>
      </w:pPr>
      <w:r>
        <w:rPr>
          <w:rFonts w:hint="eastAsia" w:ascii="仿宋" w:eastAsia="仿宋" w:cs="楷体"/>
          <w:sz w:val="32"/>
          <w:szCs w:val="32"/>
        </w:rPr>
        <w:t>电话：</w:t>
      </w:r>
      <w:r>
        <w:rPr>
          <w:rFonts w:ascii="仿宋" w:eastAsia="仿宋" w:cs="楷体"/>
          <w:sz w:val="32"/>
          <w:szCs w:val="32"/>
        </w:rPr>
        <w:t>13131278925</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640" w:firstLineChars="200"/>
        <w:textAlignment w:val="auto"/>
        <w:rPr>
          <w:rFonts w:hint="eastAsia" w:ascii="仿宋" w:eastAsia="仿宋" w:cs="楷体"/>
          <w:sz w:val="32"/>
          <w:szCs w:val="32"/>
        </w:rPr>
      </w:pPr>
      <w:r>
        <w:rPr>
          <w:rFonts w:hint="eastAsia" w:ascii="仿宋" w:eastAsia="仿宋" w:cs="楷体"/>
          <w:sz w:val="32"/>
          <w:szCs w:val="32"/>
        </w:rPr>
        <w:t xml:space="preserve">        县生态环境局大气环境管理股</w:t>
      </w:r>
      <w:r>
        <w:rPr>
          <w:rFonts w:hint="eastAsia" w:ascii="仿宋" w:eastAsia="仿宋" w:cs="楷体"/>
          <w:sz w:val="32"/>
          <w:szCs w:val="32"/>
          <w:lang w:val="en-US" w:eastAsia="zh-CN"/>
        </w:rPr>
        <w:t xml:space="preserve">  </w:t>
      </w:r>
      <w:r>
        <w:rPr>
          <w:rFonts w:hint="eastAsia" w:ascii="仿宋" w:eastAsia="仿宋" w:cs="楷体"/>
          <w:sz w:val="32"/>
          <w:szCs w:val="32"/>
        </w:rPr>
        <w:t>刘峻霖</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firstLine="1920" w:firstLineChars="600"/>
        <w:textAlignment w:val="auto"/>
        <w:rPr>
          <w:rFonts w:ascii="仿宋" w:eastAsia="仿宋" w:cs="楷体"/>
          <w:sz w:val="32"/>
          <w:szCs w:val="32"/>
        </w:rPr>
      </w:pPr>
      <w:r>
        <w:rPr>
          <w:rFonts w:hint="eastAsia" w:ascii="仿宋" w:eastAsia="仿宋" w:cs="楷体"/>
          <w:sz w:val="32"/>
          <w:szCs w:val="32"/>
        </w:rPr>
        <w:t xml:space="preserve">电话：13931229116   </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仿宋_GB2312" w:eastAsia="仿宋_GB2312"/>
          <w:color w:val="000000"/>
          <w:sz w:val="32"/>
        </w:rPr>
      </w:pPr>
      <w:r>
        <w:rPr>
          <w:rFonts w:hint="eastAsia" w:ascii="黑体" w:eastAsia="黑体" w:cs="黑体"/>
          <w:b w:val="0"/>
          <w:bCs w:val="0"/>
          <w:color w:val="000000"/>
          <w:sz w:val="32"/>
          <w:szCs w:val="32"/>
          <w:highlight w:val="none"/>
          <w:lang w:val="en-US" w:eastAsia="zh-CN"/>
        </w:rPr>
        <w:t>10.稳投资政策措施</w:t>
      </w:r>
      <w:r>
        <w:rPr>
          <w:rFonts w:ascii="黑体" w:eastAsia="黑体" w:cs="黑体"/>
          <w:b w:val="0"/>
          <w:bCs w:val="0"/>
          <w:color w:val="000000"/>
          <w:sz w:val="32"/>
          <w:szCs w:val="32"/>
          <w:highlight w:val="none"/>
          <w:lang w:val="en-US" w:eastAsia="zh-CN"/>
        </w:rPr>
        <w:t>第十条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楷体"/>
          <w:color w:val="000000"/>
          <w:sz w:val="32"/>
          <w:szCs w:val="32"/>
          <w:lang w:val="en-US" w:eastAsia="zh-CN"/>
        </w:rPr>
      </w:pPr>
      <w:r>
        <w:rPr>
          <w:rFonts w:hint="eastAsia" w:ascii="仿宋" w:eastAsia="仿宋" w:cs="仿宋"/>
          <w:color w:val="000000"/>
          <w:sz w:val="32"/>
          <w:szCs w:val="32"/>
          <w:lang w:val="en-US" w:eastAsia="zh-CN"/>
        </w:rPr>
        <w:t>积极争取上级资金，抓好项目日常储备、常态预审工作制度，积极做好新型基础设施、新能源等都市型新增领域专项债券项目谋划指导、筛选申报工作。加大专项债券申报、发行和使用力度，8月底前再新申报一批专债项目，同时存量项目完成债券发行，力争8月底前发行债券基本使用完毕。加大中央资金争取力度，重点针对战略新兴产业、资源回收利用、节能改造、现代服务业、养老托育、冷链物流等领域，积极申报争取中央预算内投资支持。</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全部符合条件项目。</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仿宋" w:eastAsia="仿宋" w:cs="仿宋"/>
          <w:color w:val="000000"/>
          <w:sz w:val="32"/>
          <w:szCs w:val="32"/>
          <w:lang w:val="en-US" w:eastAsia="zh-CN"/>
        </w:rPr>
        <w:t>加大专项债券申报、发行和使用力度，加大中央资金争取力度，重点针对战略新兴产业、资源回收利用、节能改造、现代服务业、养老托育、冷链物流等领域，积极申报争取中央预算内投资支持。</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  责任股室：社会事业股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责任人：徐鹏飞      联系电话：15130404766</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  责任股室：基本建设投资股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_GB2312" w:eastAsia="仿宋_GB2312"/>
          <w:color w:val="000000"/>
          <w:sz w:val="32"/>
          <w:szCs w:val="32"/>
          <w:lang w:val="en-US" w:eastAsia="zh-CN"/>
        </w:rPr>
      </w:pPr>
      <w:r>
        <w:rPr>
          <w:rFonts w:hint="eastAsia" w:ascii="仿宋" w:eastAsia="仿宋" w:cs="仿宋"/>
          <w:color w:val="000000"/>
          <w:sz w:val="32"/>
          <w:szCs w:val="32"/>
          <w:lang w:val="en-US" w:eastAsia="zh-CN"/>
        </w:rPr>
        <w:t>责任人：吉彦涛      联系电话：13131278925</w:t>
      </w:r>
    </w:p>
    <w:p>
      <w:pPr>
        <w:keepNext w:val="0"/>
        <w:keepLines w:val="0"/>
        <w:pageBreakBefore w:val="0"/>
        <w:widowControl w:val="0"/>
        <w:suppressAutoHyphens/>
        <w:kinsoku/>
        <w:wordWrap/>
        <w:overflowPunct/>
        <w:topLinePunct w:val="0"/>
        <w:autoSpaceDE/>
        <w:autoSpaceDN/>
        <w:bidi w:val="0"/>
        <w:spacing w:line="560" w:lineRule="exact"/>
        <w:textAlignment w:val="auto"/>
        <w:rPr>
          <w:rFonts w:hint="eastAsia" w:ascii="仿宋_GB2312" w:eastAsia="仿宋_GB2312"/>
          <w:b/>
          <w:bCs/>
          <w:color w:val="000000"/>
          <w:sz w:val="32"/>
        </w:rPr>
      </w:pPr>
      <w:r>
        <w:rPr>
          <w:rFonts w:hint="eastAsia" w:ascii="黑体" w:eastAsia="黑体" w:cs="黑体"/>
          <w:b w:val="0"/>
          <w:bCs w:val="0"/>
          <w:color w:val="000000"/>
          <w:sz w:val="32"/>
          <w:szCs w:val="32"/>
          <w:highlight w:val="none"/>
          <w:lang w:val="en-US" w:eastAsia="zh-CN"/>
        </w:rPr>
        <w:t>11.稳投资政策措施</w:t>
      </w:r>
      <w:r>
        <w:rPr>
          <w:rFonts w:ascii="黑体" w:eastAsia="黑体" w:cs="黑体"/>
          <w:b w:val="0"/>
          <w:bCs w:val="0"/>
          <w:color w:val="000000"/>
          <w:sz w:val="32"/>
          <w:szCs w:val="32"/>
          <w:highlight w:val="none"/>
          <w:lang w:val="en-US" w:eastAsia="zh-CN"/>
        </w:rPr>
        <w:t>第十一条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一、政策内容</w:t>
      </w:r>
    </w:p>
    <w:p>
      <w:pPr>
        <w:keepNext w:val="0"/>
        <w:keepLines w:val="0"/>
        <w:pageBreakBefore w:val="0"/>
        <w:widowControl w:val="0"/>
        <w:suppressAutoHyphens/>
        <w:kinsoku/>
        <w:wordWrap/>
        <w:overflowPunct/>
        <w:topLinePunct w:val="0"/>
        <w:autoSpaceDE/>
        <w:autoSpaceDN/>
        <w:bidi w:val="0"/>
        <w:adjustRightInd w:val="0"/>
        <w:snapToGrid w:val="0"/>
        <w:spacing w:line="560" w:lineRule="exact"/>
        <w:ind w:left="0" w:firstLine="640" w:firstLineChars="200"/>
        <w:textAlignment w:val="auto"/>
        <w:rPr>
          <w:rFonts w:hint="eastAsia" w:ascii="仿宋" w:eastAsia="仿宋"/>
          <w:sz w:val="32"/>
          <w:szCs w:val="32"/>
        </w:rPr>
      </w:pPr>
      <w:r>
        <w:rPr>
          <w:rFonts w:hint="eastAsia" w:ascii="仿宋" w:eastAsia="仿宋" w:cs="仿宋"/>
          <w:color w:val="000000"/>
          <w:sz w:val="32"/>
          <w:szCs w:val="32"/>
          <w:lang w:val="en-US" w:eastAsia="zh-CN"/>
        </w:rPr>
        <w:t>进一步放宽基础设施和公共事业等领域准入，除法律、法规明确禁止外，一律向民间资本开放。支持民间投资参与基础设施领域REITs试点。鼓励采用PPP模式引入社会资本投资建设“十四五”重大交通、水利、市政设施项目，争取更多项目列入备选项目库。定期向民间资本推出一批优质项目。</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lang w:eastAsia="zh-CN"/>
        </w:rPr>
      </w:pPr>
      <w:r>
        <w:rPr>
          <w:rFonts w:hint="eastAsia" w:ascii="黑体" w:eastAsia="黑体" w:cs="黑体"/>
          <w:b w:val="0"/>
          <w:bCs w:val="0"/>
          <w:color w:val="000000"/>
          <w:sz w:val="32"/>
          <w:szCs w:val="32"/>
          <w:highlight w:val="none"/>
          <w:lang w:val="en-US" w:eastAsia="zh-CN"/>
        </w:rPr>
        <w:t>二、适用对象</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sz w:val="32"/>
          <w:szCs w:val="32"/>
          <w:lang w:val="en-US" w:eastAsia="zh-CN"/>
        </w:rPr>
      </w:pPr>
      <w:r>
        <w:rPr>
          <w:rFonts w:hint="eastAsia" w:ascii="仿宋" w:eastAsia="仿宋" w:cs="仿宋"/>
          <w:sz w:val="32"/>
          <w:szCs w:val="32"/>
          <w:lang w:val="en-US" w:eastAsia="zh-CN"/>
        </w:rPr>
        <w:t>涞源县域内全部符合条件项目。</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三、操作流程</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sz w:val="32"/>
          <w:szCs w:val="32"/>
          <w:lang w:eastAsia="zh-CN"/>
        </w:rPr>
      </w:pPr>
      <w:r>
        <w:rPr>
          <w:rFonts w:hint="eastAsia" w:ascii="仿宋" w:eastAsia="仿宋" w:cs="仿宋"/>
          <w:sz w:val="32"/>
          <w:szCs w:val="32"/>
          <w:lang w:eastAsia="zh-CN"/>
        </w:rPr>
        <w:t>先筛选出一批项目，报县审核后进行实施。</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四、兑现时间</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仿宋" w:eastAsia="仿宋" w:cs="仿宋"/>
          <w:color w:val="000000"/>
          <w:sz w:val="32"/>
          <w:szCs w:val="32"/>
          <w:lang w:val="en-US" w:eastAsia="zh-CN"/>
        </w:rPr>
      </w:pPr>
      <w:r>
        <w:rPr>
          <w:rFonts w:hint="eastAsia" w:ascii="仿宋" w:eastAsia="仿宋" w:cs="仿宋"/>
          <w:color w:val="000000"/>
          <w:sz w:val="32"/>
          <w:szCs w:val="32"/>
          <w:lang w:val="en-US" w:eastAsia="zh-CN"/>
        </w:rPr>
        <w:t>2022年6月至2022年12月。</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ascii="黑体" w:eastAsia="黑体" w:cs="黑体"/>
          <w:b w:val="0"/>
          <w:bCs w:val="0"/>
          <w:color w:val="000000"/>
          <w:sz w:val="32"/>
          <w:szCs w:val="32"/>
          <w:highlight w:val="none"/>
          <w:lang w:val="en-US" w:eastAsia="zh-CN"/>
        </w:rPr>
      </w:pPr>
      <w:r>
        <w:rPr>
          <w:rFonts w:hint="eastAsia" w:ascii="黑体" w:eastAsia="黑体" w:cs="黑体"/>
          <w:b w:val="0"/>
          <w:bCs w:val="0"/>
          <w:color w:val="000000"/>
          <w:sz w:val="32"/>
          <w:szCs w:val="32"/>
          <w:highlight w:val="none"/>
          <w:lang w:val="en-US" w:eastAsia="zh-CN"/>
        </w:rPr>
        <w:t>五、责任分工</w:t>
      </w:r>
    </w:p>
    <w:p>
      <w:pPr>
        <w:keepNext w:val="0"/>
        <w:keepLines w:val="0"/>
        <w:pageBreakBefore w:val="0"/>
        <w:widowControl w:val="0"/>
        <w:suppressAutoHyphens/>
        <w:kinsoku/>
        <w:wordWrap/>
        <w:overflowPunct/>
        <w:topLinePunct w:val="0"/>
        <w:autoSpaceDE/>
        <w:autoSpaceDN/>
        <w:bidi w:val="0"/>
        <w:spacing w:line="560" w:lineRule="exact"/>
        <w:ind w:left="0" w:firstLine="640" w:firstLineChars="200"/>
        <w:textAlignment w:val="auto"/>
        <w:rPr>
          <w:rFonts w:hint="eastAsia" w:ascii="仿宋" w:eastAsia="仿宋" w:cs="仿宋"/>
          <w:color w:val="000000"/>
          <w:sz w:val="32"/>
          <w:szCs w:val="32"/>
          <w:lang w:val="en-US" w:eastAsia="zh-CN"/>
        </w:rPr>
      </w:pPr>
      <w:r>
        <w:rPr>
          <w:rFonts w:hint="eastAsia" w:ascii="仿宋" w:eastAsia="仿宋" w:cs="仿宋"/>
          <w:color w:val="000000"/>
          <w:sz w:val="32"/>
          <w:szCs w:val="32"/>
          <w:lang w:val="en-US" w:eastAsia="zh-CN"/>
        </w:rPr>
        <w:t>责任单位：县发改局  责任股室：综合计划股</w:t>
      </w:r>
    </w:p>
    <w:p>
      <w:pPr>
        <w:pStyle w:val="2"/>
        <w:keepNext w:val="0"/>
        <w:keepLines w:val="0"/>
        <w:pageBreakBefore w:val="0"/>
        <w:widowControl w:val="0"/>
        <w:suppressAutoHyphens/>
        <w:kinsoku/>
        <w:wordWrap/>
        <w:overflowPunct/>
        <w:topLinePunct w:val="0"/>
        <w:autoSpaceDE/>
        <w:autoSpaceDN/>
        <w:bidi w:val="0"/>
        <w:spacing w:line="560" w:lineRule="exact"/>
        <w:ind w:firstLine="640" w:firstLineChars="200"/>
        <w:jc w:val="both"/>
        <w:textAlignment w:val="auto"/>
        <w:rPr>
          <w:rFonts w:hint="eastAsia" w:ascii="仿宋" w:eastAsia="仿宋" w:cs="仿宋"/>
          <w:b w:val="0"/>
          <w:bCs w:val="0"/>
          <w:color w:val="000000"/>
          <w:kern w:val="2"/>
          <w:sz w:val="32"/>
          <w:szCs w:val="32"/>
          <w:lang w:val="en-US" w:eastAsia="zh-CN" w:bidi="ar-SA"/>
        </w:rPr>
      </w:pPr>
      <w:r>
        <w:rPr>
          <w:rFonts w:hint="eastAsia" w:ascii="仿宋" w:eastAsia="仿宋" w:cs="仿宋"/>
          <w:b w:val="0"/>
          <w:bCs w:val="0"/>
          <w:color w:val="000000"/>
          <w:kern w:val="2"/>
          <w:sz w:val="32"/>
          <w:szCs w:val="32"/>
          <w:lang w:val="en-US" w:eastAsia="zh-CN" w:bidi="ar-SA"/>
        </w:rPr>
        <w:t>责任人：刘   义     联系电话：13582628885</w:t>
      </w:r>
    </w:p>
    <w:p>
      <w:pPr>
        <w:keepNext w:val="0"/>
        <w:keepLines w:val="0"/>
        <w:pageBreakBefore w:val="0"/>
        <w:widowControl w:val="0"/>
        <w:suppressAutoHyphens/>
        <w:kinsoku/>
        <w:wordWrap/>
        <w:overflowPunct/>
        <w:topLinePunct w:val="0"/>
        <w:autoSpaceDE/>
        <w:autoSpaceDN/>
        <w:bidi w:val="0"/>
        <w:spacing w:line="560" w:lineRule="exact"/>
        <w:ind w:left="0" w:firstLine="420" w:firstLineChars="200"/>
        <w:textAlignment w:val="auto"/>
        <w:rPr>
          <w:lang w:val="en-US" w:eastAsia="zh-CN"/>
        </w:rPr>
      </w:pPr>
    </w:p>
    <w:sectPr>
      <w:footerReference r:id="rId3" w:type="default"/>
      <w:pgSz w:w="11906" w:h="16838"/>
      <w:pgMar w:top="2098" w:right="1531" w:bottom="2098"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CESI仿宋-GB2312">
    <w:panose1 w:val="02000500000000000000"/>
    <w:charset w:val="86"/>
    <w:family w:val="auto"/>
    <w:pitch w:val="default"/>
    <w:sig w:usb0="800002AF" w:usb1="084F6CF8" w:usb2="00000010" w:usb3="00000000" w:csb0="0004000F" w:csb1="00000000"/>
  </w:font>
  <w:font w:name="楷体">
    <w:altName w:val="方正楷体_GBK"/>
    <w:panose1 w:val="02010609060101010101"/>
    <w:charset w:val="86"/>
    <w:family w:val="auto"/>
    <w:pitch w:val="default"/>
    <w:sig w:usb0="00000000" w:usb1="00000000" w:usb2="00000016"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3665" distR="113665" simplePos="0" relativeHeight="1024" behindDoc="0" locked="0" layoutInCell="1" allowOverlap="1">
              <wp:simplePos x="0" y="0"/>
              <wp:positionH relativeFrom="margin">
                <wp:align>outside</wp:align>
              </wp:positionH>
              <wp:positionV relativeFrom="paragraph">
                <wp:posOffset>0</wp:posOffset>
              </wp:positionV>
              <wp:extent cx="237490"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237515" cy="139560"/>
                      </a:xfrm>
                      <a:prstGeom prst="rect">
                        <a:avLst/>
                      </a:prstGeom>
                      <a:noFill/>
                      <a:ln w="6350" cap="flat" cmpd="sng">
                        <a:noFill/>
                        <a:prstDash val="solid"/>
                        <a:round/>
                      </a:ln>
                    </wps:spPr>
                    <wps:txbx>
                      <w:txbxContent>
                        <w:p>
                          <w:pPr>
                            <w:pStyle w:val="8"/>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rect id="文本框 1" o:spid="_x0000_s1026" o:spt="1" style="position:absolute;left:0pt;margin-top:0pt;height:11pt;width:18.7pt;mso-position-horizontal:outside;mso-position-horizontal-relative:margin;mso-wrap-style:none;z-index:1024;mso-width-relative:page;mso-height-relative:page;" filled="f" stroked="f" coordsize="21600,21600" o:gfxdata="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BYA&#10;AABkcnMvUEsBAhQAFAAAAAgAh07iQGZ6PefXAAAAAwEAAA8AAAAAAAAAAQAgAAAAOAAAAGRycy9k&#10;b3ducmV2LnhtbFBLAQIUABQAAAAIAIdO4kCQnLqY7QEAAK4DAAAOAAAAAAAAAAEAIAAAADwBAABk&#10;cnMvZTJvRG9jLnhtbFBLBQYAAAAABgAGAFkBAACbBQAAAAA=&#10;">
              <v:fill on="f" focussize="0,0"/>
              <v:stroke on="f" weight="0.5pt" joinstyle="round"/>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987776"/>
    <w:multiLevelType w:val="singleLevel"/>
    <w:tmpl w:val="EF987776"/>
    <w:lvl w:ilvl="0" w:tentative="0">
      <w:start w:val="1"/>
      <w:numFmt w:val="chineseCounting"/>
      <w:suff w:val="nothing"/>
      <w:lvlText w:val="%1、"/>
      <w:lvlJc w:val="left"/>
      <w:pPr>
        <w:ind w:left="0" w:firstLine="0"/>
      </w:pPr>
      <w:rPr>
        <w:rFonts w:hint="eastAsia"/>
      </w:rPr>
    </w:lvl>
  </w:abstractNum>
  <w:abstractNum w:abstractNumId="1">
    <w:nsid w:val="F145B457"/>
    <w:multiLevelType w:val="singleLevel"/>
    <w:tmpl w:val="F145B457"/>
    <w:lvl w:ilvl="0" w:tentative="0">
      <w:start w:val="5"/>
      <w:numFmt w:val="chineseCounting"/>
      <w:suff w:val="nothing"/>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docVars>
    <w:docVar w:name="commondata" w:val="eyJoZGlkIjoiOWExNmUwN2M5MmQ4ZjliZDBmZDA1M2VjYzU5ZWRjNWMifQ=="/>
  </w:docVars>
  <w:rsids>
    <w:rsidRoot w:val="00000000"/>
    <w:rsid w:val="16EF212F"/>
    <w:rsid w:val="27FF8482"/>
    <w:rsid w:val="3FBFD80C"/>
    <w:rsid w:val="516F948D"/>
    <w:rsid w:val="5A1BED6A"/>
    <w:rsid w:val="5CFE71EC"/>
    <w:rsid w:val="6B177C4D"/>
    <w:rsid w:val="7DFF397B"/>
    <w:rsid w:val="7EBEACDF"/>
    <w:rsid w:val="7EFA4834"/>
    <w:rsid w:val="7F5FE4C5"/>
    <w:rsid w:val="8FFF1CE3"/>
    <w:rsid w:val="9EF7B3D7"/>
    <w:rsid w:val="A1B77899"/>
    <w:rsid w:val="AFFB9EC4"/>
    <w:rsid w:val="CB7E41DD"/>
    <w:rsid w:val="DBDD118E"/>
    <w:rsid w:val="DDEF409D"/>
    <w:rsid w:val="EF9FA973"/>
    <w:rsid w:val="EFFFEA8F"/>
    <w:rsid w:val="F3649D43"/>
    <w:rsid w:val="F78E442E"/>
    <w:rsid w:val="FDDABC1C"/>
    <w:rsid w:val="FFB7710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3">
    <w:name w:val="heading 1"/>
    <w:basedOn w:val="1"/>
    <w:next w:val="1"/>
    <w:qFormat/>
    <w:uiPriority w:val="0"/>
    <w:pPr>
      <w:keepNext/>
      <w:keepLines/>
      <w:widowControl w:val="0"/>
      <w:suppressAutoHyphens/>
      <w:spacing w:before="340" w:after="330" w:line="578" w:lineRule="auto"/>
      <w:outlineLvl w:val="0"/>
    </w:pPr>
    <w:rPr>
      <w:b/>
      <w:bCs/>
      <w:kern w:val="44"/>
      <w:sz w:val="44"/>
      <w:szCs w:val="44"/>
    </w:rPr>
  </w:style>
  <w:style w:type="paragraph" w:styleId="4">
    <w:name w:val="heading 2"/>
    <w:basedOn w:val="1"/>
    <w:next w:val="1"/>
    <w:qFormat/>
    <w:uiPriority w:val="0"/>
    <w:pPr>
      <w:keepNext/>
      <w:keepLines/>
      <w:widowControl w:val="0"/>
      <w:suppressAutoHyphens/>
      <w:spacing w:before="260" w:after="260" w:line="415" w:lineRule="auto"/>
      <w:outlineLvl w:val="1"/>
    </w:pPr>
    <w:rPr>
      <w:rFonts w:ascii="Times New Roman" w:hAnsi="Times New Roman" w:eastAsia="黑体"/>
      <w:b/>
      <w:bCs/>
      <w:sz w:val="32"/>
      <w:szCs w:val="32"/>
    </w:rPr>
  </w:style>
  <w:style w:type="paragraph" w:styleId="5">
    <w:name w:val="heading 3"/>
    <w:basedOn w:val="1"/>
    <w:next w:val="1"/>
    <w:qFormat/>
    <w:uiPriority w:val="0"/>
    <w:pPr>
      <w:keepNext/>
      <w:keepLines/>
      <w:widowControl w:val="0"/>
      <w:suppressAutoHyphens/>
      <w:spacing w:before="260" w:after="260" w:line="415" w:lineRule="auto"/>
      <w:outlineLvl w:val="2"/>
    </w:pPr>
    <w:rPr>
      <w:b/>
      <w:bCs/>
      <w:sz w:val="32"/>
      <w:szCs w:val="32"/>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index 5"/>
    <w:basedOn w:val="1"/>
    <w:next w:val="1"/>
    <w:qFormat/>
    <w:uiPriority w:val="0"/>
    <w:pPr>
      <w:ind w:left="0"/>
      <w:jc w:val="center"/>
    </w:pPr>
    <w:rPr>
      <w:rFonts w:ascii="宋体"/>
      <w:b/>
      <w:bCs/>
      <w:sz w:val="44"/>
      <w:szCs w:val="44"/>
    </w:rPr>
  </w:style>
  <w:style w:type="paragraph" w:styleId="6">
    <w:name w:val="Body Text"/>
    <w:basedOn w:val="1"/>
    <w:next w:val="7"/>
    <w:qFormat/>
    <w:uiPriority w:val="0"/>
  </w:style>
  <w:style w:type="paragraph" w:styleId="7">
    <w:name w:val="Body Text Indent"/>
    <w:basedOn w:val="1"/>
    <w:qFormat/>
    <w:uiPriority w:val="0"/>
    <w:pPr>
      <w:spacing w:line="480" w:lineRule="auto"/>
      <w:ind w:firstLine="200" w:firstLineChars="200"/>
    </w:pPr>
    <w:rPr>
      <w:rFonts w:ascii="宋体"/>
      <w:b/>
      <w:sz w:val="24"/>
      <w:szCs w:val="36"/>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Pages>16</Pages>
  <Words>5453</Words>
  <Characters>5985</Characters>
  <Lines>340</Lines>
  <Paragraphs>222</Paragraphs>
  <TotalTime>22</TotalTime>
  <ScaleCrop>false</ScaleCrop>
  <LinksUpToDate>false</LinksUpToDate>
  <CharactersWithSpaces>6111</CharactersWithSpaces>
  <Application>WPS Office_11.8.2.10386_F1E327BC-269C-435d-A152-05C5408002CA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2022-08-11T09:21:00Z</dcterms:created>
  <dc:creator>Administrator</dc:creator>
  <cp:lastModifiedBy>work</cp:lastModifiedBy>
  <cp:lastPrinted>2022-08-12T01:30:00Z</cp:lastPrinted>
  <dcterms:modified xsi:type="dcterms:W3CDTF">2022-08-11T11:10:35Z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E2F07DC74B674BF99E03597ED6CD6947</vt:lpwstr>
  </property>
</Properties>
</file>