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华文中宋" w:hAnsi="华文中宋" w:eastAsia="华文中宋"/>
          <w:b/>
          <w:sz w:val="44"/>
          <w:szCs w:val="44"/>
          <w:u w:val="none" w:color="auto"/>
        </w:rPr>
      </w:pPr>
    </w:p>
    <w:p>
      <w:pPr>
        <w:spacing w:line="560" w:lineRule="exact"/>
        <w:jc w:val="center"/>
        <w:rPr>
          <w:rFonts w:hint="eastAsia" w:ascii="华文中宋" w:hAnsi="华文中宋" w:eastAsia="华文中宋"/>
          <w:b/>
          <w:sz w:val="44"/>
          <w:szCs w:val="44"/>
          <w:u w:val="double" w:color="000000"/>
        </w:rPr>
      </w:pPr>
    </w:p>
    <w:p>
      <w:pPr>
        <w:spacing w:line="560" w:lineRule="exact"/>
        <w:jc w:val="center"/>
        <w:rPr>
          <w:rFonts w:hint="eastAsia" w:ascii="华文中宋" w:hAnsi="华文中宋" w:eastAsia="华文中宋"/>
          <w:b/>
          <w:sz w:val="44"/>
          <w:szCs w:val="44"/>
          <w:u w:val="double" w:color="000000"/>
        </w:rPr>
      </w:pPr>
    </w:p>
    <w:p>
      <w:pPr>
        <w:spacing w:line="560" w:lineRule="exact"/>
        <w:jc w:val="center"/>
        <w:rPr>
          <w:rFonts w:hint="eastAsia" w:ascii="华文中宋" w:hAnsi="华文中宋" w:eastAsia="华文中宋"/>
          <w:b/>
          <w:sz w:val="44"/>
          <w:szCs w:val="44"/>
          <w:u w:val="double" w:color="000000"/>
        </w:rPr>
      </w:pPr>
    </w:p>
    <w:p>
      <w:pPr>
        <w:spacing w:line="560" w:lineRule="exact"/>
        <w:jc w:val="center"/>
        <w:rPr>
          <w:rFonts w:hint="eastAsia" w:ascii="华文中宋" w:hAnsi="华文中宋" w:eastAsia="华文中宋"/>
          <w:b/>
          <w:sz w:val="44"/>
          <w:szCs w:val="44"/>
          <w:u w:val="double" w:color="000000"/>
        </w:rPr>
      </w:pPr>
    </w:p>
    <w:p>
      <w:pPr>
        <w:pStyle w:val="2"/>
        <w:rPr>
          <w:rFonts w:hint="eastAsia"/>
        </w:rPr>
      </w:pPr>
    </w:p>
    <w:p>
      <w:pPr>
        <w:spacing w:line="560" w:lineRule="exact"/>
        <w:jc w:val="center"/>
        <w:rPr>
          <w:rFonts w:hint="eastAsia" w:ascii="仿宋_GB2312" w:hAnsi="华文中宋" w:eastAsia="仿宋_GB2312"/>
          <w:b/>
          <w:sz w:val="32"/>
          <w:szCs w:val="32"/>
        </w:rPr>
      </w:pPr>
    </w:p>
    <w:p>
      <w:pPr>
        <w:pStyle w:val="2"/>
        <w:rPr>
          <w:rFonts w:hint="eastAsia"/>
        </w:rPr>
      </w:pPr>
    </w:p>
    <w:p>
      <w:pPr>
        <w:spacing w:line="560" w:lineRule="exact"/>
        <w:jc w:val="center"/>
        <w:rPr>
          <w:rFonts w:hint="eastAsia" w:ascii="仿宋_GB2312" w:hAnsi="华文中宋" w:eastAsia="仿宋_GB2312"/>
          <w:b/>
          <w:sz w:val="32"/>
          <w:szCs w:val="32"/>
        </w:rPr>
      </w:pPr>
      <w:r>
        <w:rPr>
          <w:rFonts w:hint="eastAsia" w:ascii="仿宋_GB2312" w:hAnsi="华文中宋" w:eastAsia="仿宋_GB2312"/>
          <w:b/>
          <w:sz w:val="32"/>
          <w:szCs w:val="32"/>
        </w:rPr>
        <w:t>涞民</w:t>
      </w:r>
      <w:r>
        <w:rPr>
          <w:rFonts w:hint="eastAsia" w:ascii="仿宋_GB2312" w:hAnsi="华文中宋" w:eastAsia="仿宋_GB2312"/>
          <w:b/>
          <w:sz w:val="32"/>
          <w:szCs w:val="32"/>
          <w:lang w:eastAsia="zh-CN"/>
        </w:rPr>
        <w:t>字</w:t>
      </w:r>
      <w:r>
        <w:rPr>
          <w:rFonts w:hint="eastAsia" w:ascii="仿宋_GB2312" w:hAnsi="华文中宋" w:eastAsia="仿宋_GB2312"/>
          <w:b/>
          <w:sz w:val="32"/>
          <w:szCs w:val="32"/>
        </w:rPr>
        <w:t>【20</w:t>
      </w:r>
      <w:r>
        <w:rPr>
          <w:rFonts w:hint="eastAsia" w:ascii="仿宋_GB2312" w:hAnsi="华文中宋" w:eastAsia="仿宋_GB2312"/>
          <w:b/>
          <w:sz w:val="32"/>
          <w:szCs w:val="32"/>
          <w:lang w:val="en-US" w:eastAsia="zh-CN"/>
        </w:rPr>
        <w:t>22</w:t>
      </w:r>
      <w:r>
        <w:rPr>
          <w:rFonts w:hint="eastAsia" w:ascii="仿宋_GB2312" w:hAnsi="华文中宋" w:eastAsia="仿宋_GB2312"/>
          <w:b/>
          <w:sz w:val="32"/>
          <w:szCs w:val="32"/>
        </w:rPr>
        <w:t>】</w:t>
      </w:r>
      <w:r>
        <w:rPr>
          <w:rFonts w:hint="eastAsia" w:ascii="仿宋_GB2312" w:hAnsi="华文中宋" w:eastAsia="仿宋_GB2312"/>
          <w:b/>
          <w:sz w:val="32"/>
          <w:szCs w:val="32"/>
          <w:lang w:val="en-US" w:eastAsia="zh-CN"/>
        </w:rPr>
        <w:t>9</w:t>
      </w:r>
      <w:r>
        <w:rPr>
          <w:rFonts w:hint="eastAsia" w:ascii="仿宋_GB2312" w:hAnsi="华文中宋" w:eastAsia="仿宋_GB2312"/>
          <w:b/>
          <w:sz w:val="32"/>
          <w:szCs w:val="32"/>
        </w:rPr>
        <w:t>号</w:t>
      </w:r>
    </w:p>
    <w:p>
      <w:pPr>
        <w:spacing w:line="560" w:lineRule="exact"/>
        <w:jc w:val="center"/>
        <w:rPr>
          <w:rFonts w:hint="eastAsia" w:ascii="华文中宋" w:hAnsi="华文中宋" w:eastAsia="华文中宋"/>
          <w:b/>
          <w:sz w:val="44"/>
          <w:szCs w:val="44"/>
          <w:u w:val="double" w:color="000000"/>
        </w:rPr>
      </w:pPr>
    </w:p>
    <w:p>
      <w:pPr>
        <w:pStyle w:val="2"/>
        <w:rPr>
          <w:rFonts w:hint="eastAsia"/>
        </w:rPr>
      </w:pPr>
    </w:p>
    <w:p>
      <w:pPr>
        <w:spacing w:line="580" w:lineRule="exact"/>
        <w:jc w:val="center"/>
        <w:rPr>
          <w:rFonts w:hint="eastAsia" w:ascii="宋体" w:hAnsi="宋体"/>
          <w:b/>
          <w:bCs/>
          <w:sz w:val="44"/>
          <w:szCs w:val="44"/>
        </w:rPr>
      </w:pPr>
      <w:r>
        <w:rPr>
          <w:rFonts w:hint="eastAsia" w:ascii="宋体" w:hAnsi="宋体"/>
          <w:b/>
          <w:bCs/>
          <w:sz w:val="44"/>
          <w:szCs w:val="44"/>
        </w:rPr>
        <w:t>涞源县民政局</w:t>
      </w:r>
    </w:p>
    <w:p>
      <w:pPr>
        <w:spacing w:line="580" w:lineRule="exact"/>
        <w:jc w:val="center"/>
        <w:rPr>
          <w:rFonts w:hint="eastAsia" w:ascii="宋体" w:hAnsi="宋体"/>
          <w:b/>
          <w:bCs/>
          <w:sz w:val="44"/>
          <w:szCs w:val="44"/>
        </w:rPr>
      </w:pPr>
      <w:r>
        <w:rPr>
          <w:rFonts w:hint="eastAsia" w:ascii="宋体" w:hAnsi="宋体"/>
          <w:b/>
          <w:bCs/>
          <w:sz w:val="44"/>
          <w:szCs w:val="44"/>
        </w:rPr>
        <w:t>“双随机一公开”抽查工作细则</w:t>
      </w:r>
    </w:p>
    <w:p>
      <w:pPr>
        <w:spacing w:line="580" w:lineRule="exact"/>
        <w:jc w:val="center"/>
        <w:rPr>
          <w:rFonts w:hint="eastAsia" w:ascii="仿宋" w:hAnsi="仿宋" w:eastAsia="仿宋"/>
          <w:sz w:val="32"/>
          <w:szCs w:val="32"/>
        </w:rPr>
      </w:pPr>
    </w:p>
    <w:p>
      <w:pPr>
        <w:spacing w:line="580" w:lineRule="exact"/>
        <w:jc w:val="center"/>
        <w:rPr>
          <w:rFonts w:hint="eastAsia" w:ascii="仿宋_GB2312" w:hAnsi="仿宋_GB2312" w:eastAsia="仿宋_GB2312" w:cs="仿宋_GB2312"/>
          <w:b/>
          <w:bCs/>
          <w:sz w:val="32"/>
          <w:szCs w:val="32"/>
        </w:rPr>
      </w:pPr>
      <w:bookmarkStart w:id="0" w:name="_GoBack"/>
      <w:bookmarkEnd w:id="0"/>
      <w:r>
        <w:rPr>
          <w:rFonts w:hint="eastAsia" w:ascii="仿宋_GB2312" w:hAnsi="仿宋_GB2312" w:eastAsia="仿宋_GB2312" w:cs="仿宋_GB2312"/>
          <w:b/>
          <w:bCs/>
          <w:sz w:val="32"/>
          <w:szCs w:val="32"/>
        </w:rPr>
        <w:t>第一章 总则</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第一条</w:t>
      </w:r>
      <w:r>
        <w:rPr>
          <w:rFonts w:hint="eastAsia" w:ascii="仿宋_GB2312" w:hAnsi="仿宋_GB2312" w:eastAsia="仿宋_GB2312" w:cs="仿宋_GB2312"/>
          <w:sz w:val="32"/>
          <w:szCs w:val="32"/>
        </w:rPr>
        <w:t xml:space="preserve"> 为了规范市场监管执法行为，切实解决当前一些领域存在的检查任性和执法扰民、执法不公、执法不严等问题，保障市场主体合法权益，营造公平竞争的发展环境，推动大众创业、万众创新，依据《国务院办公厅关于推广随机抽查规范事中事后监管的通知》(国办发[2015]58号)和《国务院关于“先照后证”改革后加强事中事后监管的意见》(国发[2015]62号)要求，制定本细则。</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第二条</w:t>
      </w:r>
      <w:r>
        <w:rPr>
          <w:rFonts w:hint="eastAsia" w:ascii="仿宋_GB2312" w:hAnsi="仿宋_GB2312" w:eastAsia="仿宋_GB2312" w:cs="仿宋_GB2312"/>
          <w:sz w:val="32"/>
          <w:szCs w:val="32"/>
        </w:rPr>
        <w:t xml:space="preserve"> 本办法所称“双随机一公开”，是指对市场主体公示信息及日常生产经营行为进行监管，随机抽取检查对象、随机选派执法检查人员、及时公布查处结果的抽查机制。</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本办法所称市场主体，是指经工商部门注册登记各类企业、个体工商户和农民专业合作社。</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第三条</w:t>
      </w:r>
      <w:r>
        <w:rPr>
          <w:rFonts w:hint="eastAsia" w:ascii="仿宋_GB2312" w:hAnsi="仿宋_GB2312" w:eastAsia="仿宋_GB2312" w:cs="仿宋_GB2312"/>
          <w:sz w:val="32"/>
          <w:szCs w:val="32"/>
        </w:rPr>
        <w:t xml:space="preserve"> “双随机一公开”工作应当遵循依法实施、谁检查谁反馈、谁检查谁负责、公开透明的原则，确保抽查工作依法有序开展。</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依法实施是指所有的随机抽查事项应当于法有据，严格按照随机抽查事项清单组织实施，不得在清单外设立或实施抽查、检查事项。</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谁检查谁反馈，是指检查人员向被检查对象反馈实施检查的结果。</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谁检查谁负责，是指检查人员对检查事项、检查结果、公开结果、事后监管依法负责，并对抽查中发现的问题提出实施事中事后监管的具体措施。</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公开透明，是指检查清单、检查计划、抽取结果、检查结果等检查工作应当依法公开。</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第四条 </w:t>
      </w:r>
      <w:r>
        <w:rPr>
          <w:rFonts w:hint="eastAsia" w:ascii="仿宋_GB2312" w:hAnsi="仿宋_GB2312" w:eastAsia="仿宋_GB2312" w:cs="仿宋_GB2312"/>
          <w:sz w:val="32"/>
          <w:szCs w:val="32"/>
        </w:rPr>
        <w:t>成立“双随机一公开”领导小组，负责我局领导、组织、协调、督查、考核“双随机一公开”工作。</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(一)建立市场主体名录库(市场主体登记信息)和执法人员信息名录库。</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(二)依据法律、法规和规章规定及日常监督管理需要，制定抽查事项清单，明确抽查依据、抽查主体、抽查内容和抽查方式等，并向社会公布。</w:t>
      </w:r>
    </w:p>
    <w:p>
      <w:pPr>
        <w:spacing w:line="580" w:lineRule="exact"/>
        <w:ind w:firstLine="643" w:firstLineChars="200"/>
        <w:jc w:val="center"/>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第二章 抽查类型和内容</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第五条</w:t>
      </w:r>
      <w:r>
        <w:rPr>
          <w:rFonts w:hint="eastAsia" w:ascii="仿宋_GB2312" w:hAnsi="仿宋_GB2312" w:eastAsia="仿宋_GB2312" w:cs="仿宋_GB2312"/>
          <w:sz w:val="32"/>
          <w:szCs w:val="32"/>
        </w:rPr>
        <w:t xml:space="preserve"> 抽查类型分为不定向抽查和定向抽查，按照抽取比例，从市场主体名录库中随机抽取被检查对象。</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不定向抽查名单按照抽查比例和区域均衡随机抽取确定。</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定向抽查名单按照市场主体类型、所属行业、地理区域和抽查方案要求等特定条件随机抽取确定。</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第六条</w:t>
      </w:r>
      <w:r>
        <w:rPr>
          <w:rFonts w:hint="eastAsia" w:ascii="仿宋_GB2312" w:hAnsi="仿宋_GB2312" w:eastAsia="仿宋_GB2312" w:cs="仿宋_GB2312"/>
          <w:sz w:val="32"/>
          <w:szCs w:val="32"/>
        </w:rPr>
        <w:t xml:space="preserve"> 对市场主体实施抽查，内容包括检查市场主体公示信息情况和日常生产经营行为情况。法律法规规章没有规定的，一律不得擅自开展检查。</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市场主体公示信息抽查，是依照《企业信息公示暂行条例》、《企业公示信息抽查暂行办法》等有关规定，对通过随机抽取确定的市场主体在公示平台公示的年报信息和即时信息真实性、及时性进行的监督检查。</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市场主体生产经营行为抽查，是指依照工商行政管理法律法规规章，对通过随机抽取确定的市场主体日常生产经营行为合法性进行的监督检查。</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第七条</w:t>
      </w:r>
      <w:r>
        <w:rPr>
          <w:rFonts w:hint="eastAsia" w:ascii="仿宋_GB2312" w:hAnsi="仿宋_GB2312" w:eastAsia="仿宋_GB2312" w:cs="仿宋_GB2312"/>
          <w:sz w:val="32"/>
          <w:szCs w:val="32"/>
        </w:rPr>
        <w:t xml:space="preserve"> 随机抽查事项清单，2016年应当达到本部门市场监管执法事项的70%以上、其他行政执法事项的50%以上，自2017年始应当对本部门行政执法事项实现全面覆盖。</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对因投诉、举报，上级部门交办或其他部门移送案件线索等原因，需要对具体被检查对象实施检查时，不采取“双随机”检查方式。</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第八条</w:t>
      </w:r>
      <w:r>
        <w:rPr>
          <w:rFonts w:hint="eastAsia" w:ascii="仿宋_GB2312" w:hAnsi="仿宋_GB2312" w:eastAsia="仿宋_GB2312" w:cs="仿宋_GB2312"/>
          <w:sz w:val="32"/>
          <w:szCs w:val="32"/>
        </w:rPr>
        <w:t xml:space="preserve"> 制定随机抽查事项清单，明确抽查依据、抽查主体、抽查内容、抽查方式等。随机抽查事项清单根据法律法规规章修订情况和工作实际进行动态调整，及时向社会公布。</w:t>
      </w:r>
    </w:p>
    <w:p>
      <w:pPr>
        <w:spacing w:line="580" w:lineRule="exact"/>
        <w:ind w:firstLine="643" w:firstLineChars="20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第三章 检查实施</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第九条</w:t>
      </w:r>
      <w:r>
        <w:rPr>
          <w:rFonts w:hint="eastAsia" w:ascii="仿宋_GB2312" w:hAnsi="仿宋_GB2312" w:eastAsia="仿宋_GB2312" w:cs="仿宋_GB2312"/>
          <w:sz w:val="32"/>
          <w:szCs w:val="32"/>
        </w:rPr>
        <w:t xml:space="preserve"> 开展市场主体抽查，可依法采取书面检查、实地核查、网络监测等方式;可委托会计师事务所、税务师事务所、律师事务所等专业机构开展相关工作，通过委托专业机构出具审计报告等方式，检查企业报送的资产总额、负债总额、纳税总额等信息的真实性;可依法利用其他政府部门作出的检查、核查结果、法院的生效文书和专业机构作出的专业结论。</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第十条</w:t>
      </w:r>
      <w:r>
        <w:rPr>
          <w:rFonts w:hint="eastAsia" w:ascii="仿宋_GB2312" w:hAnsi="仿宋_GB2312" w:eastAsia="仿宋_GB2312" w:cs="仿宋_GB2312"/>
          <w:sz w:val="32"/>
          <w:szCs w:val="32"/>
        </w:rPr>
        <w:t xml:space="preserve"> 可通过审查市场主体提供的会计资料、审计报告、行政许可证明、行政处罚决定书、场所使用证明等相关材料，或者通过与相关部门建立信息交换机制，获取和比对市场主体行政许可、行政处罚和经营行为等相关信息，对市场主体公示信息和经营行为情况实施检查。</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第十一条</w:t>
      </w:r>
      <w:r>
        <w:rPr>
          <w:rFonts w:hint="eastAsia" w:ascii="仿宋_GB2312" w:hAnsi="仿宋_GB2312" w:eastAsia="仿宋_GB2312" w:cs="仿宋_GB2312"/>
          <w:sz w:val="32"/>
          <w:szCs w:val="32"/>
        </w:rPr>
        <w:t xml:space="preserve"> 对市场主体实施实地核查的，应当依照工商行政管理执法检查相关法律法规和工作程序规定进行。检查人员不得少于两人，应当出示执法证件。核查结束后，应及时如实填写市场主体实地核查记录表。核查记录表应由市场主体法定代表人、负责人或其指定人员签字或者盖章确认。无法取得签字或者盖章的，检查人员应当注明原因，必要时可邀请市场主体有关人员、物业管理人员、社区(村、居)委员会人员等作为见证人。</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第十二条</w:t>
      </w:r>
      <w:r>
        <w:rPr>
          <w:rFonts w:hint="eastAsia" w:ascii="仿宋_GB2312" w:hAnsi="仿宋_GB2312" w:eastAsia="仿宋_GB2312" w:cs="仿宋_GB2312"/>
          <w:sz w:val="32"/>
          <w:szCs w:val="32"/>
        </w:rPr>
        <w:t xml:space="preserve"> 市场主体在接受检查中具有两次下列不予配合情形的，应将市场主体名称、不予配合检查次数、时间、情形等信息，通过公示平台予以公示。</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(一)拒绝、阻挠、妨碍检查人员或其委托的专业机构进入被检查场所的;</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(二)拒绝接受和阻挠妨碍询问调查的;</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(三)不如实反映情况的;</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(四)拒绝向检查人员或其委托的专业机构提供会计资料、审计报告、行政许可证明、行政处罚决定书、场所使用证明等相关材料的;</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(五)其他阻挠、妨碍检查工作正常进行的行为。</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第十三条</w:t>
      </w:r>
      <w:r>
        <w:rPr>
          <w:rFonts w:hint="eastAsia" w:ascii="仿宋_GB2312" w:hAnsi="仿宋_GB2312" w:eastAsia="仿宋_GB2312" w:cs="仿宋_GB2312"/>
          <w:sz w:val="32"/>
          <w:szCs w:val="32"/>
        </w:rPr>
        <w:t xml:space="preserve"> 对市场主体检查工作结束后，检查人员应对被检查市场主体逐户出具检查意见。</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检查人员出具的检查意见分为“未发现异常”、“未按规定公示应当公示的信息”、“公示信息隐瞒真实情况、弄虚作假”、“通过登记的住所(经营场所)无法联系”、“不予配合情节严重”、“经营行为涉嫌违反工商行政管理法律法规，需进一步调查处理”、“其他”等情形。</w:t>
      </w:r>
    </w:p>
    <w:p>
      <w:pPr>
        <w:spacing w:line="58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检查人员应在检查意见审批后5个工作日内，将相应的检查结果信息录入一体化平台。</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第十四条</w:t>
      </w:r>
      <w:r>
        <w:rPr>
          <w:rFonts w:hint="eastAsia" w:ascii="仿宋_GB2312" w:hAnsi="仿宋_GB2312" w:eastAsia="仿宋_GB2312" w:cs="仿宋_GB2312"/>
          <w:sz w:val="32"/>
          <w:szCs w:val="32"/>
        </w:rPr>
        <w:t xml:space="preserve"> 市场主体实地核查记录表、责令整改通知书、处罚决定书等抽查工作书式材料，应及时整理归档保存。保存期限有规定的，从其规定;没有规定的，保存期限不少于两年。</w:t>
      </w:r>
    </w:p>
    <w:p>
      <w:pPr>
        <w:spacing w:line="580" w:lineRule="exact"/>
        <w:ind w:firstLine="643" w:firstLineChars="20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第四章 抽查结果公示和运用</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第十五条</w:t>
      </w:r>
      <w:r>
        <w:rPr>
          <w:rFonts w:hint="eastAsia" w:ascii="仿宋_GB2312" w:hAnsi="仿宋_GB2312" w:eastAsia="仿宋_GB2312" w:cs="仿宋_GB2312"/>
          <w:sz w:val="32"/>
          <w:szCs w:val="32"/>
        </w:rPr>
        <w:t xml:space="preserve"> 检查人员对检查中发现问题的市场主体，应根据检查情况提出处理意见;处理意见经检查人员所在工商局分管负责人或主要负责人审批后，即通过公示平台自动归集于被检查市场主体名下并向社会公示。</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第十六条</w:t>
      </w:r>
      <w:r>
        <w:rPr>
          <w:rFonts w:hint="eastAsia" w:ascii="仿宋_GB2312" w:hAnsi="仿宋_GB2312" w:eastAsia="仿宋_GB2312" w:cs="仿宋_GB2312"/>
          <w:sz w:val="32"/>
          <w:szCs w:val="32"/>
        </w:rPr>
        <w:t xml:space="preserve"> 在检查中发现市场主体检查结果符合纳入经营异常名录情形的，应当依照《企业经营异常名录管理暂行办法》等相关规定作出相应处理。存在其他违法行为的，由有管辖权的部门依法进行处理，涉嫌犯罪的移送司法机关。</w:t>
      </w:r>
    </w:p>
    <w:p>
      <w:pPr>
        <w:spacing w:line="580" w:lineRule="exact"/>
        <w:ind w:firstLine="643" w:firstLineChars="20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第五章 督查考核</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第十七条</w:t>
      </w:r>
      <w:r>
        <w:rPr>
          <w:rFonts w:hint="eastAsia" w:ascii="仿宋_GB2312" w:hAnsi="仿宋_GB2312" w:eastAsia="仿宋_GB2312" w:cs="仿宋_GB2312"/>
          <w:sz w:val="32"/>
          <w:szCs w:val="32"/>
        </w:rPr>
        <w:t xml:space="preserve"> 应将市场主体抽查工作列入年度绩效考评的重要内容，制定考评标准，实行奖优惩劣，促进抽查工作落实。</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第十八条</w:t>
      </w:r>
      <w:r>
        <w:rPr>
          <w:rFonts w:hint="eastAsia" w:ascii="仿宋_GB2312" w:hAnsi="仿宋_GB2312" w:eastAsia="仿宋_GB2312" w:cs="仿宋_GB2312"/>
          <w:sz w:val="32"/>
          <w:szCs w:val="32"/>
        </w:rPr>
        <w:t xml:space="preserve"> 检查人员应当严格依法抽查监管，不得妨碍市场主体正常的生产经营活动。</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第十九条</w:t>
      </w:r>
      <w:r>
        <w:rPr>
          <w:rFonts w:hint="eastAsia" w:ascii="仿宋_GB2312" w:hAnsi="仿宋_GB2312" w:eastAsia="仿宋_GB2312" w:cs="仿宋_GB2312"/>
          <w:sz w:val="32"/>
          <w:szCs w:val="32"/>
        </w:rPr>
        <w:t xml:space="preserve"> 检查人员违反本办法的有关规定，滥用职权、玩忽职守、徇私舞弊的，依法给予行政处分;情节严重构成犯罪的，依法追究刑事责任。查、群众举报核查、责令改正复查、集中整治检查。</w:t>
      </w:r>
    </w:p>
    <w:p>
      <w:pPr>
        <w:spacing w:line="58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第六章 附则</w:t>
      </w:r>
    </w:p>
    <w:p>
      <w:pPr>
        <w:spacing w:line="58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第二十条</w:t>
      </w:r>
      <w:r>
        <w:rPr>
          <w:rFonts w:hint="eastAsia" w:ascii="仿宋_GB2312" w:hAnsi="仿宋_GB2312" w:eastAsia="仿宋_GB2312" w:cs="仿宋_GB2312"/>
          <w:sz w:val="32"/>
          <w:szCs w:val="32"/>
        </w:rPr>
        <w:t xml:space="preserve">  本实施细则自2016年7月15日起实施</w:t>
      </w:r>
    </w:p>
    <w:p>
      <w:pPr>
        <w:spacing w:line="580" w:lineRule="exact"/>
        <w:ind w:firstLine="640" w:firstLineChars="200"/>
        <w:jc w:val="left"/>
        <w:rPr>
          <w:rFonts w:hint="eastAsia" w:ascii="仿宋" w:hAnsi="仿宋" w:eastAsia="仿宋"/>
          <w:sz w:val="32"/>
          <w:szCs w:val="32"/>
        </w:rPr>
      </w:pPr>
    </w:p>
    <w:p>
      <w:pPr>
        <w:jc w:val="left"/>
        <w:rPr>
          <w:rFonts w:ascii="仿宋" w:hAnsi="仿宋" w:eastAsia="仿宋"/>
        </w:rPr>
      </w:pPr>
    </w:p>
    <w:p>
      <w:pPr>
        <w:keepNext w:val="0"/>
        <w:keepLines w:val="0"/>
        <w:pageBreakBefore w:val="0"/>
        <w:widowControl w:val="0"/>
        <w:kinsoku/>
        <w:wordWrap/>
        <w:overflowPunct/>
        <w:topLinePunct w:val="0"/>
        <w:autoSpaceDE/>
        <w:autoSpaceDN/>
        <w:bidi w:val="0"/>
        <w:spacing w:line="560" w:lineRule="exact"/>
        <w:textAlignment w:val="auto"/>
        <w:rPr>
          <w:rFonts w:hint="eastAsia" w:ascii="仿宋_GB2312" w:hAnsi="仿宋_GB2312" w:cs="仿宋"/>
          <w:snapToGrid w:val="0"/>
          <w:color w:val="000000"/>
          <w:spacing w:val="-4"/>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Cs/>
          <w:snapToGrid w:val="0"/>
          <w:color w:val="000000"/>
          <w:spacing w:val="-4"/>
          <w:sz w:val="32"/>
          <w:szCs w:val="32"/>
        </w:rPr>
      </w:pPr>
      <w:r>
        <w:rPr>
          <w:rFonts w:hint="eastAsia" w:ascii="仿宋" w:hAnsi="仿宋" w:eastAsia="仿宋" w:cs="仿宋"/>
          <w:snapToGrid w:val="0"/>
          <w:color w:val="000000"/>
          <w:spacing w:val="-4"/>
          <w:sz w:val="32"/>
          <w:szCs w:val="32"/>
        </w:rPr>
        <w:t>各</w:t>
      </w:r>
      <w:r>
        <w:rPr>
          <w:rFonts w:hint="eastAsia" w:ascii="仿宋" w:hAnsi="仿宋" w:eastAsia="仿宋" w:cs="仿宋"/>
          <w:snapToGrid w:val="0"/>
          <w:color w:val="000000"/>
          <w:spacing w:val="-4"/>
          <w:sz w:val="32"/>
          <w:szCs w:val="32"/>
          <w:lang w:val="en-US" w:eastAsia="zh-CN"/>
        </w:rPr>
        <w:t>股室</w:t>
      </w:r>
      <w:r>
        <w:rPr>
          <w:rFonts w:hint="eastAsia" w:ascii="仿宋" w:hAnsi="仿宋" w:eastAsia="仿宋" w:cs="仿宋"/>
          <w:snapToGrid w:val="0"/>
          <w:color w:val="000000"/>
          <w:spacing w:val="-4"/>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napToGrid w:val="0"/>
          <w:color w:val="000000"/>
          <w:spacing w:val="-4"/>
          <w:sz w:val="32"/>
          <w:szCs w:val="32"/>
        </w:rPr>
      </w:pPr>
      <w:r>
        <w:rPr>
          <w:rFonts w:hint="eastAsia" w:ascii="仿宋" w:hAnsi="仿宋" w:eastAsia="仿宋" w:cs="仿宋"/>
          <w:color w:val="000000"/>
          <w:sz w:val="32"/>
          <w:szCs w:val="32"/>
        </w:rPr>
        <w:t>现将</w:t>
      </w:r>
      <w:r>
        <w:rPr>
          <w:rFonts w:hint="eastAsia" w:ascii="仿宋" w:hAnsi="仿宋" w:eastAsia="仿宋" w:cs="仿宋"/>
          <w:color w:val="000000"/>
          <w:sz w:val="32"/>
          <w:szCs w:val="32"/>
          <w:lang w:val="en-US" w:eastAsia="zh-CN"/>
        </w:rPr>
        <w:t>涞源县</w:t>
      </w:r>
      <w:r>
        <w:rPr>
          <w:rFonts w:hint="eastAsia" w:ascii="仿宋" w:hAnsi="仿宋" w:eastAsia="仿宋" w:cs="仿宋"/>
          <w:color w:val="000000"/>
          <w:sz w:val="32"/>
          <w:szCs w:val="32"/>
        </w:rPr>
        <w:t>随机抽查事项清单(</w:t>
      </w:r>
      <w:r>
        <w:rPr>
          <w:rFonts w:hint="eastAsia" w:ascii="仿宋" w:hAnsi="仿宋" w:eastAsia="仿宋" w:cs="仿宋"/>
          <w:color w:val="000000"/>
          <w:sz w:val="32"/>
          <w:szCs w:val="32"/>
          <w:lang w:val="en-US" w:eastAsia="zh-CN"/>
        </w:rPr>
        <w:t>2022年版</w:t>
      </w:r>
      <w:r>
        <w:rPr>
          <w:rFonts w:hint="eastAsia" w:ascii="仿宋" w:hAnsi="仿宋" w:eastAsia="仿宋" w:cs="仿宋"/>
          <w:color w:val="000000"/>
          <w:sz w:val="32"/>
          <w:szCs w:val="32"/>
        </w:rPr>
        <w:t>)印发给你们，请各相关部门结合实际情况，在开展各自的随机抽查工作中贯彻落实，做到抽查事项的全覆盖。</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napToGrid w:val="0"/>
          <w:color w:val="000000"/>
          <w:spacing w:val="-4"/>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24" w:firstLineChars="200"/>
        <w:jc w:val="left"/>
        <w:textAlignment w:val="auto"/>
        <w:rPr>
          <w:rFonts w:hint="eastAsia" w:ascii="仿宋" w:hAnsi="仿宋" w:eastAsia="仿宋" w:cs="仿宋"/>
          <w:snapToGrid w:val="0"/>
          <w:color w:val="000000"/>
          <w:spacing w:val="-4"/>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24" w:firstLineChars="200"/>
        <w:jc w:val="left"/>
        <w:textAlignment w:val="auto"/>
        <w:rPr>
          <w:rFonts w:hint="eastAsia" w:ascii="仿宋" w:hAnsi="仿宋" w:eastAsia="仿宋" w:cs="仿宋"/>
          <w:color w:val="000000"/>
          <w:sz w:val="32"/>
          <w:szCs w:val="32"/>
        </w:rPr>
      </w:pPr>
      <w:r>
        <w:rPr>
          <w:rFonts w:hint="eastAsia" w:ascii="仿宋" w:hAnsi="仿宋" w:eastAsia="仿宋" w:cs="仿宋"/>
          <w:snapToGrid w:val="0"/>
          <w:color w:val="000000"/>
          <w:spacing w:val="-4"/>
          <w:sz w:val="32"/>
          <w:szCs w:val="32"/>
        </w:rPr>
        <w:t>附件：</w:t>
      </w:r>
      <w:r>
        <w:rPr>
          <w:rFonts w:hint="eastAsia" w:ascii="仿宋" w:hAnsi="仿宋" w:eastAsia="仿宋" w:cs="仿宋"/>
          <w:snapToGrid w:val="0"/>
          <w:color w:val="000000"/>
          <w:spacing w:val="-4"/>
          <w:sz w:val="32"/>
          <w:szCs w:val="32"/>
          <w:lang w:val="en-US" w:eastAsia="zh-CN"/>
        </w:rPr>
        <w:t>1.</w:t>
      </w:r>
      <w:r>
        <w:rPr>
          <w:rFonts w:hint="eastAsia" w:ascii="仿宋" w:hAnsi="仿宋" w:eastAsia="仿宋" w:cs="仿宋"/>
          <w:color w:val="000000"/>
          <w:sz w:val="32"/>
          <w:szCs w:val="32"/>
          <w:lang w:val="en-US" w:eastAsia="zh-CN"/>
        </w:rPr>
        <w:t>涞源县</w:t>
      </w:r>
      <w:r>
        <w:rPr>
          <w:rFonts w:hint="eastAsia" w:ascii="仿宋" w:hAnsi="仿宋" w:eastAsia="仿宋" w:cs="仿宋"/>
          <w:color w:val="000000"/>
          <w:sz w:val="32"/>
          <w:szCs w:val="32"/>
        </w:rPr>
        <w:t>随机抽查</w:t>
      </w:r>
      <w:r>
        <w:rPr>
          <w:rFonts w:hint="eastAsia" w:ascii="仿宋" w:hAnsi="仿宋" w:eastAsia="仿宋" w:cs="仿宋"/>
          <w:color w:val="000000"/>
          <w:sz w:val="32"/>
          <w:szCs w:val="32"/>
          <w:lang w:val="en-US" w:eastAsia="zh-CN"/>
        </w:rPr>
        <w:t>民政执法事项</w:t>
      </w:r>
      <w:r>
        <w:rPr>
          <w:rFonts w:hint="eastAsia" w:ascii="仿宋" w:hAnsi="仿宋" w:eastAsia="仿宋" w:cs="仿宋"/>
          <w:color w:val="000000"/>
          <w:sz w:val="32"/>
          <w:szCs w:val="32"/>
        </w:rPr>
        <w:t>清单(20</w:t>
      </w:r>
      <w:r>
        <w:rPr>
          <w:rFonts w:hint="eastAsia" w:ascii="仿宋" w:hAnsi="仿宋" w:eastAsia="仿宋" w:cs="仿宋"/>
          <w:color w:val="000000"/>
          <w:sz w:val="32"/>
          <w:szCs w:val="32"/>
          <w:lang w:val="en-US" w:eastAsia="zh-CN"/>
        </w:rPr>
        <w:t>22</w:t>
      </w:r>
      <w:r>
        <w:rPr>
          <w:rFonts w:hint="eastAsia" w:ascii="仿宋" w:hAnsi="仿宋" w:eastAsia="仿宋" w:cs="仿宋"/>
          <w:color w:val="000000"/>
          <w:sz w:val="32"/>
          <w:szCs w:val="32"/>
        </w:rPr>
        <w:t>年版)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1600" w:firstLineChars="500"/>
        <w:jc w:val="left"/>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lang w:val="en-US" w:eastAsia="zh-CN"/>
        </w:rPr>
        <w:t>2.涞源县</w:t>
      </w:r>
      <w:r>
        <w:rPr>
          <w:rFonts w:hint="eastAsia" w:ascii="仿宋" w:hAnsi="仿宋" w:eastAsia="仿宋" w:cs="仿宋"/>
          <w:color w:val="000000"/>
          <w:sz w:val="32"/>
          <w:szCs w:val="32"/>
        </w:rPr>
        <w:t>随机抽查</w:t>
      </w:r>
      <w:r>
        <w:rPr>
          <w:rFonts w:hint="eastAsia" w:ascii="仿宋" w:hAnsi="仿宋" w:eastAsia="仿宋" w:cs="仿宋"/>
          <w:color w:val="000000"/>
          <w:sz w:val="32"/>
          <w:szCs w:val="32"/>
          <w:lang w:val="en-US" w:eastAsia="zh-CN"/>
        </w:rPr>
        <w:t>其他执法事项</w:t>
      </w:r>
      <w:r>
        <w:rPr>
          <w:rFonts w:hint="eastAsia" w:ascii="仿宋" w:hAnsi="仿宋" w:eastAsia="仿宋" w:cs="仿宋"/>
          <w:color w:val="000000"/>
          <w:sz w:val="32"/>
          <w:szCs w:val="32"/>
        </w:rPr>
        <w:t>清单(20</w:t>
      </w:r>
      <w:r>
        <w:rPr>
          <w:rFonts w:hint="eastAsia" w:ascii="仿宋" w:hAnsi="仿宋" w:eastAsia="仿宋" w:cs="仿宋"/>
          <w:color w:val="000000"/>
          <w:sz w:val="32"/>
          <w:szCs w:val="32"/>
          <w:lang w:val="en-US" w:eastAsia="zh-CN"/>
        </w:rPr>
        <w:t>22</w:t>
      </w:r>
      <w:r>
        <w:rPr>
          <w:rFonts w:hint="eastAsia" w:ascii="仿宋" w:hAnsi="仿宋" w:eastAsia="仿宋" w:cs="仿宋"/>
          <w:color w:val="000000"/>
          <w:sz w:val="32"/>
          <w:szCs w:val="32"/>
        </w:rPr>
        <w:t>版)</w:t>
      </w:r>
    </w:p>
    <w:p>
      <w:pPr>
        <w:pStyle w:val="2"/>
        <w:widowControl w:val="0"/>
        <w:numPr>
          <w:ilvl w:val="0"/>
          <w:numId w:val="0"/>
        </w:numPr>
        <w:jc w:val="both"/>
        <w:rPr>
          <w:rFonts w:hint="eastAsia"/>
          <w:lang w:eastAsia="zh-CN"/>
        </w:rPr>
      </w:pPr>
    </w:p>
    <w:p>
      <w:pPr>
        <w:pStyle w:val="2"/>
        <w:widowControl w:val="0"/>
        <w:numPr>
          <w:ilvl w:val="0"/>
          <w:numId w:val="0"/>
        </w:numPr>
        <w:jc w:val="both"/>
        <w:rPr>
          <w:rFonts w:hint="eastAsia"/>
          <w:lang w:eastAsia="zh-CN"/>
        </w:rPr>
      </w:pPr>
    </w:p>
    <w:p>
      <w:pPr>
        <w:pStyle w:val="2"/>
        <w:widowControl w:val="0"/>
        <w:numPr>
          <w:ilvl w:val="0"/>
          <w:numId w:val="0"/>
        </w:numPr>
        <w:jc w:val="both"/>
        <w:rPr>
          <w:rFonts w:hint="eastAsia"/>
          <w:lang w:eastAsia="zh-CN"/>
        </w:rPr>
      </w:pPr>
    </w:p>
    <w:p>
      <w:pPr>
        <w:pStyle w:val="2"/>
        <w:widowControl w:val="0"/>
        <w:numPr>
          <w:ilvl w:val="0"/>
          <w:numId w:val="0"/>
        </w:numPr>
        <w:jc w:val="center"/>
        <w:rPr>
          <w:rFonts w:hint="eastAsia" w:ascii="仿宋" w:hAnsi="仿宋" w:eastAsia="仿宋" w:cs="仿宋"/>
          <w:sz w:val="32"/>
          <w:szCs w:val="32"/>
          <w:lang w:val="en-US" w:eastAsia="zh-CN"/>
        </w:rPr>
      </w:pPr>
      <w:r>
        <w:rPr>
          <w:rFonts w:hint="eastAsia"/>
          <w:lang w:val="en-US" w:eastAsia="zh-CN"/>
        </w:rPr>
        <w:t xml:space="preserve">                   </w:t>
      </w:r>
      <w:r>
        <w:rPr>
          <w:rFonts w:hint="eastAsia" w:ascii="仿宋" w:hAnsi="仿宋" w:eastAsia="仿宋" w:cs="仿宋"/>
          <w:sz w:val="32"/>
          <w:szCs w:val="32"/>
          <w:lang w:val="en-US" w:eastAsia="zh-CN"/>
        </w:rPr>
        <w:t xml:space="preserve">                涞源县民政局</w:t>
      </w:r>
    </w:p>
    <w:p>
      <w:pPr>
        <w:pStyle w:val="2"/>
        <w:widowControl w:val="0"/>
        <w:numPr>
          <w:ilvl w:val="0"/>
          <w:numId w:val="0"/>
        </w:numPr>
        <w:jc w:val="center"/>
        <w:rPr>
          <w:rFonts w:hint="eastAsia" w:ascii="仿宋" w:hAnsi="仿宋" w:eastAsia="仿宋" w:cs="仿宋"/>
          <w:sz w:val="32"/>
          <w:szCs w:val="32"/>
          <w:lang w:eastAsia="zh-CN"/>
        </w:rPr>
      </w:pPr>
      <w:r>
        <w:rPr>
          <w:rFonts w:hint="eastAsia" w:ascii="仿宋" w:hAnsi="仿宋" w:eastAsia="仿宋" w:cs="仿宋"/>
          <w:sz w:val="32"/>
          <w:szCs w:val="32"/>
          <w:lang w:val="en-US" w:eastAsia="zh-CN"/>
        </w:rPr>
        <w:t xml:space="preserve">                            2022年3月14日</w:t>
      </w:r>
    </w:p>
    <w:p>
      <w:pPr>
        <w:pStyle w:val="2"/>
        <w:widowControl w:val="0"/>
        <w:numPr>
          <w:ilvl w:val="0"/>
          <w:numId w:val="0"/>
        </w:numPr>
        <w:jc w:val="both"/>
        <w:rPr>
          <w:rFonts w:hint="eastAsia" w:ascii="仿宋" w:hAnsi="仿宋" w:eastAsia="仿宋" w:cs="仿宋"/>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2E7CE0"/>
    <w:rsid w:val="132E7CE0"/>
    <w:rsid w:val="1CB2010A"/>
    <w:rsid w:val="3AC2488C"/>
    <w:rsid w:val="4EF42321"/>
    <w:rsid w:val="598B2716"/>
    <w:rsid w:val="59EA599D"/>
    <w:rsid w:val="695A087C"/>
    <w:rsid w:val="6A820276"/>
    <w:rsid w:val="731725D5"/>
    <w:rsid w:val="76A809F9"/>
    <w:rsid w:val="7B140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napToGrid w:val="0"/>
      <w:kern w:val="0"/>
      <w:szCs w:val="21"/>
    </w:rPr>
  </w:style>
  <w:style w:type="paragraph" w:styleId="3">
    <w:name w:val="footer"/>
    <w:basedOn w:val="1"/>
    <w:uiPriority w:val="0"/>
    <w:pPr>
      <w:tabs>
        <w:tab w:val="center" w:pos="4153"/>
        <w:tab w:val="right" w:pos="8306"/>
      </w:tabs>
      <w:snapToGrid w:val="0"/>
      <w:jc w:val="left"/>
    </w:pPr>
    <w:rPr>
      <w:sz w:val="18"/>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2022-01-11T02:06:00Z</dcterms:created>
  <dc:creator>NTKO</dc:creator>
  <cp:lastModifiedBy>lenovo</cp:lastModifiedBy>
  <cp:lastPrinted>2022-03-09T06:28:00Z</cp:lastPrinted>
  <dcterms:modified xsi:type="dcterms:W3CDTF">2022-03-14T05:58:15Z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E9F95D2D1AE54B29B2CB4DF0F946FC43</vt:lpwstr>
  </property>
</Properties>
</file>