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jc w:val="center"/>
        <w:rPr>
          <w:rFonts w:ascii="方正小标宋简体" w:eastAsia="方正小标宋简体"/>
          <w:color w:val="FF0000"/>
          <w:sz w:val="40"/>
          <w:szCs w:val="40"/>
          <w:shd w:val="solid" w:color="FFFFFF" w:fill="FFFFFF"/>
        </w:rPr>
      </w:pPr>
    </w:p>
    <w:tbl>
      <w:tblPr>
        <w:jc w:val="left"/>
        <w:tblBorders>
          <w:top w:val="none" w:sz="0" w:space="0" w:color="auto"/>
          <w:left w:val="none" w:sz="0" w:space="0" w:color="auto"/>
          <w:bottom w:val="none" w:sz="0" w:space="0" w:color="auto"/>
          <w:right w:val="none" w:sz="0" w:space="0" w:color="auto"/>
          <w:insideH w:val="single" w:sz="4" w:space="0" w:color="auto"/>
          <w:insideV w:val="single" w:sz="4" w:space="0" w:color="auto"/>
        </w:tblBorders>
        <w:tblCellMar>
          <w:top w:w="0" w:type="dxa"/>
          <w:left w:w="108" w:type="dxa"/>
          <w:bottom w:w="0" w:type="dxa"/>
          <w:right w:w="108" w:type="dxa"/>
        </w:tblCellMar>
      </w:tblPr>
      <w:tblGrid>
        <w:gridCol w:w="8835"/>
      </w:tblGrid>
      <w:tr>
        <w:tc>
          <w:tcPr>
            <w:tcW w:w="8835" w:type="dxa"/>
            <w:tcBorders>
              <w:top w:val="nil"/>
              <w:left w:val="nil"/>
              <w:bottom w:val="nil"/>
              <w:right w:val="nil"/>
              <w:tl2br w:val="nil"/>
              <w:tr2bl w:val="nil"/>
            </w:tcBorders>
            <w:vAlign w:val="center"/>
          </w:tcPr>
          <w:p>
            <w:pPr>
              <w:jc w:val="center"/>
              <w:rPr>
                <w:rFonts w:ascii="方正小标宋简体" w:eastAsia="方正小标宋简体" w:hint="eastAsia"/>
                <w:color w:val="FF0000"/>
                <w:w w:val="43"/>
                <w:sz w:val="132"/>
                <w:szCs w:val="132"/>
                <w:shd w:val="solid" w:color="FFFFFF" w:fill="FFFFFF"/>
              </w:rPr>
            </w:pPr>
            <w:r>
              <w:rPr>
                <w:rFonts w:ascii="方正小标宋简体" w:eastAsia="方正小标宋简体" w:hint="eastAsia"/>
                <w:color w:val="FF0000"/>
                <w:w w:val="43"/>
                <w:sz w:val="132"/>
                <w:szCs w:val="132"/>
                <w:shd w:val="solid" w:color="FFFFFF" w:fill="FFFFFF"/>
              </w:rPr>
              <w:t>保定市生态环境局涞源县分局文件</w:t>
            </w:r>
          </w:p>
        </w:tc>
      </w:tr>
      <w:tr>
        <w:trPr>
          <w:trHeight w:val="596"/>
        </w:trPr>
        <w:tc>
          <w:tcPr>
            <w:tcW w:w="8835" w:type="dxa"/>
            <w:tcBorders>
              <w:top w:val="nil"/>
              <w:left w:val="nil"/>
              <w:bottom w:val="nil"/>
              <w:right w:val="nil"/>
              <w:tl2br w:val="nil"/>
              <w:tr2bl w:val="nil"/>
            </w:tcBorders>
          </w:tcPr>
          <w:p>
            <w:pPr>
              <w:pBdr>
                <w:top w:val="none" w:sz="0" w:space="0" w:color="auto"/>
                <w:left w:val="none" w:sz="0" w:space="0" w:color="auto"/>
                <w:bottom w:val="none" w:sz="0" w:space="0" w:color="auto"/>
                <w:right w:val="none" w:sz="0" w:space="0" w:color="auto"/>
              </w:pBdr>
              <w:jc w:val="center"/>
              <w:rPr>
                <w:rFonts w:ascii="宋体" w:hint="eastAsia"/>
                <w:color w:val="FF0000"/>
                <w:sz w:val="32"/>
                <w:szCs w:val="32"/>
                <w:shd w:val="solid" w:color="FFFFFF" w:fill="FFFFFF"/>
              </w:rPr>
            </w:pPr>
            <w:r>
              <w:rPr>
                <w:rFonts w:ascii="仿宋_GB2312" w:eastAsia="仿宋_GB2312" w:hint="eastAsia"/>
                <w:sz w:val="30"/>
              </w:rPr>
              <w:t>涞环通字</w:t>
            </w:r>
            <w:r>
              <w:rPr>
                <w:rFonts w:ascii="仿宋" w:eastAsia="仿宋" w:hint="eastAsia"/>
                <w:sz w:val="30"/>
                <w:szCs w:val="30"/>
              </w:rPr>
              <w:t>〔2026〕</w:t>
            </w:r>
            <w:r>
              <w:rPr>
                <w:rFonts w:ascii="仿宋_GB2312" w:eastAsia="仿宋_GB2312"/>
                <w:sz w:val="30"/>
              </w:rPr>
              <w:t>3</w:t>
            </w:r>
            <w:r>
              <w:rPr>
                <w:rFonts w:ascii="仿宋_GB2312" w:eastAsia="仿宋_GB2312" w:hint="eastAsia"/>
                <w:sz w:val="30"/>
              </w:rPr>
              <w:t>号</w:t>
            </w:r>
          </w:p>
        </w:tc>
      </w:tr>
      <w:tr>
        <w:tc>
          <w:tcPr>
            <w:tcW w:w="8835" w:type="dxa"/>
            <w:tcBorders>
              <w:top w:val="nil"/>
              <w:left w:val="nil"/>
              <w:bottom w:val="nil"/>
              <w:right w:val="nil"/>
              <w:tl2br w:val="nil"/>
              <w:tr2bl w:val="nil"/>
            </w:tcBorders>
          </w:tcPr>
          <w:p>
            <w:pPr>
              <w:pBdr>
                <w:top w:val="none" w:sz="0" w:space="0" w:color="auto"/>
                <w:left w:val="none" w:sz="0" w:space="0" w:color="auto"/>
                <w:bottom w:val="none" w:sz="0" w:space="0" w:color="auto"/>
                <w:right w:val="none" w:sz="0" w:space="0" w:color="auto"/>
              </w:pBdr>
              <w:jc w:val="center"/>
              <w:rPr>
                <w:rFonts w:ascii="方正小标宋简体" w:eastAsia="方正小标宋简体"/>
                <w:color w:val="FF0000"/>
                <w:sz w:val="32"/>
                <w:szCs w:val="32"/>
                <w:shd w:val="solid" w:color="FFFFFF" w:fill="FFFFFF"/>
              </w:rPr>
            </w:pPr>
            <w:r>
              <mc:AlternateContent>
                <mc:Choice Requires="wps">
                  <w:drawing>
                    <wp:anchor distT="0" distB="0" distL="85723" distR="85723" simplePos="0" relativeHeight="12" behindDoc="0" locked="0" layoutInCell="1" hidden="0" allowOverlap="1">
                      <wp:simplePos x="0" y="0"/>
                      <wp:positionH relativeFrom="column">
                        <wp:posOffset>-18668</wp:posOffset>
                      </wp:positionH>
                      <wp:positionV relativeFrom="paragraph">
                        <wp:posOffset>24002</wp:posOffset>
                      </wp:positionV>
                      <wp:extent cx="5593786" cy="323849"/>
                      <wp:effectExtent l="0" t="0" r="0" b="0"/>
                      <wp:wrapNone/>
                      <wp:docPr id="1" name="组合"/>
                      <wp:cNvGraphicFramePr>
                        <a:graphicFrameLocks noChangeAspect="0"/>
                      </wp:cNvGraphicFramePr>
                      <a:graphic>
                        <a:graphicData uri="http://schemas.microsoft.com/office/word/2010/wordprocessingGroup">
                          <wpg:wgp>
                            <wpg:cNvPr id="2" name="组合 2"/>
                            <wpg:cNvGrpSpPr/>
                            <wpg:grpSpPr>
                              <a:xfrm rot="0">
                                <a:off x="0" y="0"/>
                                <a:ext cx="5593786" cy="323849"/>
                                <a:chOff x="0" y="0"/>
                                <a:chExt cx="5593786" cy="323849"/>
                              </a:xfrm>
                              <a:prstGeom prst="rect"/>
                              <a:solidFill>
                                <a:srgbClr val="FFFFFF"/>
                              </a:solidFill>
                              <a:ln w="9525" cmpd="sng" cap="flat">
                                <a:solidFill>
                                  <a:srgbClr val="000000"/>
                                </a:solidFill>
                                <a:prstDash val="solid"/>
                                <a:miter/>
                              </a:ln>
                            </wpg:grpSpPr>
                            <wps:wsp>
                              <wps:cNvPr id="3" name="_s8 3"/>
                              <wps:cNvSpPr/>
                              <wps:spPr>
                                <a:xfrm rot="0">
                                  <a:off x="0" y="145244"/>
                                  <a:ext cx="5593786" cy="0"/>
                                </a:xfrm>
                                <a:prstGeom prst="line"/>
                                <a:noFill/>
                                <a:ln w="25400" cmpd="sng" cap="flat">
                                  <a:solidFill>
                                    <a:srgbClr val="FF0000"/>
                                  </a:solidFill>
                                  <a:prstDash val="solid"/>
                                  <a:miter/>
                                </a:ln>
                              </wps:spPr>
                              <wps:bodyPr vert="horz" wrap="square" lIns="91440" tIns="45720" rIns="91440" bIns="45720" anchor="t" anchorCtr="0" upright="1">
                                <a:noAutofit/>
                              </wps:bodyPr>
                            </wps:wsp>
                            <wpg:grpSp>
                              <wpg:cNvPr id="4" name="组合 4"/>
                              <wpg:cNvGrpSpPr/>
                              <wpg:grpSpPr>
                                <a:xfrm rot="0">
                                  <a:off x="2650720" y="0"/>
                                  <a:ext cx="323870" cy="323849"/>
                                  <a:chOff x="0" y="0"/>
                                  <a:chExt cx="323870" cy="323849"/>
                                </a:xfrm>
                                <a:prstGeom prst="rect"/>
                                <a:solidFill>
                                  <a:srgbClr val="FFFFFF"/>
                                </a:solidFill>
                                <a:ln w="9525" cmpd="sng" cap="flat">
                                  <a:solidFill>
                                    <a:srgbClr val="000000"/>
                                  </a:solidFill>
                                  <a:prstDash val="solid"/>
                                  <a:miter/>
                                </a:ln>
                              </wpg:grpSpPr>
                              <wps:wsp>
                                <wps:cNvPr id="5" name="_s10 5"/>
                                <wps:cNvSpPr/>
                                <wps:spPr>
                                  <a:xfrm rot="0">
                                    <a:off x="0" y="0"/>
                                    <a:ext cx="323870" cy="323849"/>
                                  </a:xfrm>
                                  <a:prstGeom prst="flowChartProcess"/>
                                  <a:solidFill>
                                    <a:srgbClr val="FFFFFF"/>
                                  </a:solidFill>
                                  <a:ln w="9525" cmpd="sng" cap="flat">
                                    <a:solidFill>
                                      <a:srgbClr val="FFFFFF"/>
                                    </a:solidFill>
                                    <a:prstDash val="solid"/>
                                    <a:miter/>
                                  </a:ln>
                                </wps:spPr>
                                <wps:bodyPr vert="horz" wrap="square" lIns="91440" tIns="45720" rIns="91440" bIns="45720" anchor="t" anchorCtr="0" upright="1">
                                  <a:noAutofit/>
                                </wps:bodyPr>
                              </wps:wsp>
                              <wps:wsp>
                                <wps:cNvPr id="6" name="_s11 6"/>
                                <wps:cNvSpPr/>
                                <wps:spPr>
                                  <a:xfrm rot="0">
                                    <a:off x="35562" y="57262"/>
                                    <a:ext cx="252110" cy="252590"/>
                                  </a:xfrm>
                                  <a:prstGeom prst="star5"/>
                                  <a:solidFill>
                                    <a:srgbClr val="FF0000"/>
                                  </a:solidFill>
                                  <a:ln w="9525" cmpd="sng" cap="flat">
                                    <a:solidFill>
                                      <a:srgbClr val="FF0000"/>
                                    </a:solidFill>
                                    <a:prstDash val="solid"/>
                                    <a:miter/>
                                  </a:ln>
                                </wps:spPr>
                                <wps:bodyPr vert="horz" wrap="square" lIns="91440" tIns="45720" rIns="91440" bIns="45720" anchor="t" anchorCtr="0" upright="1">
                                  <a:noAutofit/>
                                </wps:bodyPr>
                              </wps:wsp>
                            </wpg:grpSp>
                            <wps:bodyPr vert="horz" wrap="square" lIns="91440" tIns="45720" rIns="91440" bIns="45720" anchor="t" anchorCtr="0" upright="1">
                              <a:noAutofit/>
                            </wps:bodyPr>
                          </wpg:wgp>
                        </a:graphicData>
                      </a:graphic>
                    </wp:anchor>
                  </w:drawing>
                </mc:Choice>
                <mc:Fallback>
                  <w:pict>
                    <v:group type="#_x0000_t1" id="组合 7" o:spid="_x0000_s7" coordorigin="1615,5567" coordsize="8809,509" style="position:absolute;margin-left:-1.4699769pt;margin-top:1.889963pt;width:440.4556pt;height:25.499977pt;z-index:12;mso-position-horizontal:absolute;mso-position-vertical:absolute;mso-wrap-distance-left:6.749897pt;mso-wrap-distance-right:6.749897pt;">
                      <v:line type="#_x0000_t20" id="_s8" o:spid="_x0000_s8" style="position:absolute;visibility:visible;" from="1615.7754,5796.497" to="10424.888,5796.497" filled="f" stroked="t" strokeweight="2.0pt">
                        <v:stroke color="#FF0000"/>
                      </v:line>
                      <v:group type="#_x0000_t1" id="组合 9" o:spid="_x0000_s9" coordorigin="5790,5567" coordsize="510,509" style="position:absolute;left:5790;top:5567;width:510;height:509;">
                        <v:shape type="#_x0000_t109" id="_s10" o:spid="_x0000_s10" style="position:absolute;left:5790;top:5567;width:510;height:509;" fillcolor="#FFFFFF" stroked="t">
                          <v:stroke color="#FFFFFF"/>
                        </v:shape>
                        <v:shape type="#_x0000_t12" id="_s11" o:spid="_x0000_s11" style="position:absolute;left:5846;top:5657;width:397;height:397;" fillcolor="#FF0000" stroked="t">
                          <v:stroke color="#FF0000"/>
                        </v:shape>
                      </v:group>
                    </v:group>
                  </w:pict>
                </mc:Fallback>
              </mc:AlternateContent>
            </w:r>
          </w:p>
        </w:tc>
      </w:tr>
    </w:tbl>
    <w:p>
      <w:pPr>
        <w:spacing w:line="560" w:lineRule="exact"/>
        <w:jc w:val="center"/>
        <w:rPr>
          <w:rFonts w:ascii="方正小标宋简体" w:eastAsia="方正小标宋简体"/>
          <w:color w:val="FF0000"/>
          <w:sz w:val="60"/>
          <w:szCs w:val="60"/>
          <w:shd w:val="solid" w:color="FFFFFF" w:fill="FFFFFF"/>
        </w:rPr>
      </w:pPr>
    </w:p>
    <w:p>
      <w:pPr>
        <w:spacing w:line="560" w:lineRule="exact"/>
        <w:jc w:val="center"/>
        <w:rPr>
          <w:rStyle w:val="133"/>
          <w:rFonts w:ascii="方正小标宋简体" w:eastAsia="方正小标宋简体" w:cs="方正小标宋简体"/>
          <w:sz w:val="44"/>
          <w:szCs w:val="44"/>
        </w:rPr>
      </w:pPr>
      <w:r>
        <w:rPr>
          <w:rStyle w:val="133"/>
          <w:rFonts w:ascii="方正小标宋简体" w:eastAsia="方正小标宋简体" w:cs="方正小标宋简体" w:hint="eastAsia"/>
          <w:sz w:val="44"/>
          <w:szCs w:val="44"/>
        </w:rPr>
        <w:t>保定市生态环境局涞源县分局</w:t>
      </w:r>
    </w:p>
    <w:p>
      <w:pPr>
        <w:spacing w:line="560" w:lineRule="exact"/>
        <w:jc w:val="center"/>
        <w:rPr>
          <w:rStyle w:val="133"/>
          <w:rFonts w:ascii="方正小标宋简体" w:eastAsia="方正小标宋简体" w:cs="方正小标宋简体"/>
          <w:sz w:val="44"/>
          <w:szCs w:val="44"/>
        </w:rPr>
      </w:pPr>
      <w:r>
        <w:rPr>
          <w:rStyle w:val="133"/>
          <w:rFonts w:ascii="方正小标宋简体" w:eastAsia="方正小标宋简体" w:cs="方正小标宋简体" w:hint="eastAsia"/>
          <w:sz w:val="44"/>
          <w:szCs w:val="44"/>
        </w:rPr>
        <w:t>202</w:t>
      </w:r>
      <w:r>
        <w:rPr>
          <w:rStyle w:val="133"/>
          <w:rFonts w:ascii="方正小标宋简体" w:eastAsia="方正小标宋简体" w:cs="方正小标宋简体" w:hint="eastAsia"/>
          <w:sz w:val="44"/>
          <w:szCs w:val="44"/>
          <w:lang w:val="en-US" w:eastAsia="zh-CN"/>
        </w:rPr>
        <w:t>6</w:t>
      </w:r>
      <w:r>
        <w:rPr>
          <w:rStyle w:val="133"/>
          <w:rFonts w:ascii="方正小标宋简体" w:eastAsia="方正小标宋简体" w:cs="方正小标宋简体" w:hint="eastAsia"/>
          <w:sz w:val="44"/>
          <w:szCs w:val="44"/>
        </w:rPr>
        <w:t>年“双随机、一公开”监管工作实施</w:t>
      </w:r>
    </w:p>
    <w:p>
      <w:pPr>
        <w:spacing w:line="560" w:lineRule="exact"/>
        <w:jc w:val="center"/>
        <w:rPr>
          <w:rStyle w:val="133"/>
          <w:rFonts w:ascii="方正小标宋简体" w:eastAsia="方正小标宋简体" w:cs="方正小标宋简体"/>
          <w:sz w:val="44"/>
          <w:szCs w:val="44"/>
        </w:rPr>
      </w:pPr>
      <w:r>
        <w:rPr>
          <w:rStyle w:val="133"/>
          <w:rFonts w:ascii="方正小标宋简体" w:eastAsia="方正小标宋简体" w:cs="方正小标宋简体" w:hint="eastAsia"/>
          <w:sz w:val="44"/>
          <w:szCs w:val="44"/>
        </w:rPr>
        <w:t>方</w:t>
      </w:r>
      <w:r>
        <w:rPr>
          <w:rStyle w:val="133"/>
          <w:rFonts w:ascii="方正小标宋简体" w:eastAsia="方正小标宋简体" w:cs="方正小标宋简体"/>
          <w:sz w:val="44"/>
          <w:szCs w:val="44"/>
        </w:rPr>
        <w:t xml:space="preserve">   </w:t>
      </w:r>
      <w:r>
        <w:rPr>
          <w:rStyle w:val="133"/>
          <w:rFonts w:ascii="方正小标宋简体" w:eastAsia="方正小标宋简体" w:cs="方正小标宋简体" w:hint="eastAsia"/>
          <w:sz w:val="44"/>
          <w:szCs w:val="44"/>
        </w:rPr>
        <w:t>案</w:t>
      </w:r>
    </w:p>
    <w:p>
      <w:pPr>
        <w:spacing w:line="260" w:lineRule="exact"/>
        <w:rPr>
          <w:rStyle w:val="133"/>
          <w:rFonts w:ascii="黑体" w:eastAsia="黑体"/>
          <w:sz w:val="32"/>
          <w:szCs w:val="32"/>
        </w:rPr>
      </w:pPr>
    </w:p>
    <w:p>
      <w:pPr>
        <w:keepNext w:val="0"/>
        <w:keepLines w:val="0"/>
        <w:pageBreakBefore w:val="0"/>
        <w:widowControl w:val="0"/>
        <w:kinsoku/>
        <w:wordWrap/>
        <w:overflowPunct/>
        <w:topLinePunct w:val="0"/>
        <w:autoSpaceDE/>
        <w:autoSpaceDN/>
        <w:adjustRightInd/>
        <w:snapToGrid/>
        <w:spacing w:line="560" w:lineRule="exact"/>
        <w:ind w:left="0" w:firstLineChars="200" w:firstLine="640"/>
        <w:rPr>
          <w:rFonts w:eastAsia="仿宋_GB2312"/>
          <w:kern w:val="0"/>
          <w:sz w:val="32"/>
          <w:szCs w:val="32"/>
        </w:rPr>
      </w:pPr>
      <w:r>
        <w:rPr>
          <w:rFonts w:ascii="仿宋_GB2312" w:eastAsia="仿宋_GB2312" w:cs="仿宋_GB2312" w:hint="eastAsia"/>
          <w:color w:val="auto"/>
          <w:kern w:val="0"/>
          <w:sz w:val="32"/>
          <w:szCs w:val="32"/>
          <w:lang w:val="en-US" w:eastAsia="zh-CN" w:bidi="ar-SA"/>
        </w:rPr>
        <w:t>为深入贯彻落实国家、省、市关于优化营商环境部署要求，持续深化“双随机、一公开”监管，提升监管效能，根据《国务院关于在市场监管领域全面推行部门联合“双随机、一公开”监管的意见》（国发〔2019〕5号）、《国务院办公厅关于严格规范涉企行政检查的意见》（国办发〔2024〕54号）、《市场监管总局关于全面深化“双随机、一公开”监管规范涉企行政检查服务高质量发展的意见》（国市监信规〔2024〕5号）等文件要求，制定本方案。</w:t>
      </w:r>
    </w:p>
    <w:p>
      <w:pPr>
        <w:spacing w:line="600" w:lineRule="exact"/>
        <w:ind w:firstLineChars="200" w:firstLine="640"/>
        <w:rPr>
          <w:rStyle w:val="133"/>
          <w:rFonts w:ascii="黑体" w:eastAsia="黑体"/>
          <w:sz w:val="32"/>
          <w:szCs w:val="32"/>
        </w:rPr>
      </w:pPr>
      <w:r>
        <w:rPr>
          <w:rStyle w:val="133"/>
          <w:rFonts w:ascii="黑体" w:eastAsia="黑体" w:hint="eastAsia"/>
          <w:sz w:val="32"/>
          <w:szCs w:val="32"/>
        </w:rPr>
        <w:t>一、总体要求</w:t>
      </w:r>
    </w:p>
    <w:p>
      <w:pPr>
        <w:spacing w:line="600" w:lineRule="exact"/>
        <w:ind w:firstLineChars="200" w:firstLine="640"/>
        <w:rPr>
          <w:rStyle w:val="133"/>
          <w:rFonts w:ascii="楷体" w:eastAsia="楷体" w:cs="楷体"/>
          <w:sz w:val="32"/>
          <w:szCs w:val="32"/>
        </w:rPr>
      </w:pPr>
      <w:r>
        <w:rPr>
          <w:rStyle w:val="133"/>
          <w:rFonts w:ascii="楷体" w:eastAsia="楷体" w:cs="楷体" w:hint="eastAsia"/>
          <w:sz w:val="32"/>
          <w:szCs w:val="32"/>
        </w:rPr>
        <w:t>（一）指导思想</w:t>
      </w:r>
    </w:p>
    <w:p>
      <w:pPr>
        <w:spacing w:line="600" w:lineRule="exact"/>
        <w:ind w:firstLineChars="200" w:firstLine="640"/>
        <w:rPr>
          <w:rFonts w:ascii="仿宋_GB2312" w:eastAsia="仿宋_GB2312" w:cs="仿宋_GB2312"/>
          <w:color w:val="000000"/>
          <w:sz w:val="32"/>
          <w:szCs w:val="32"/>
        </w:rPr>
      </w:pPr>
      <w:r>
        <w:rPr>
          <w:rFonts w:ascii="仿宋_GB2312" w:eastAsia="仿宋_GB2312" w:cs="仿宋_GB2312" w:hint="eastAsia"/>
          <w:sz w:val="32"/>
          <w:szCs w:val="32"/>
        </w:rPr>
        <w:t>以坚决打好污染防治攻坚战，进一步</w:t>
      </w:r>
      <w:r>
        <w:rPr>
          <w:rFonts w:ascii="仿宋_GB2312" w:eastAsia="仿宋_GB2312" w:cs="仿宋_GB2312" w:hint="eastAsia"/>
          <w:color w:val="000000"/>
          <w:sz w:val="32"/>
          <w:szCs w:val="32"/>
        </w:rPr>
        <w:t>推进简政放权、放管结合、优化服务，</w:t>
      </w:r>
      <w:r>
        <w:rPr>
          <w:rFonts w:ascii="仿宋_GB2312" w:eastAsia="仿宋_GB2312" w:cs="仿宋_GB2312" w:hint="eastAsia"/>
          <w:sz w:val="32"/>
          <w:szCs w:val="32"/>
        </w:rPr>
        <w:t>突出精准治污、科学治污、依法治污。</w:t>
      </w:r>
      <w:r>
        <w:rPr>
          <w:rFonts w:ascii="仿宋_GB2312" w:eastAsia="仿宋_GB2312" w:cs="仿宋_GB2312" w:hint="eastAsia"/>
          <w:color w:val="000000"/>
          <w:sz w:val="32"/>
          <w:szCs w:val="32"/>
        </w:rPr>
        <w:t>常态化、全覆盖开展“双随机、一公开”监管工作，建立以“双随机、一公开”监管工作为基本手段、以重点监管为补充、以信用监管为基础的新型监管机制，进一步强化科技监管数据应用，实施分级分类监管，推行联合随机抽查，推进公平公正公开，着力打造公平竞争、法制便利的市场营商环境。</w:t>
      </w:r>
    </w:p>
    <w:p>
      <w:pPr>
        <w:spacing w:line="600" w:lineRule="exact"/>
        <w:ind w:firstLineChars="200" w:firstLine="640"/>
        <w:rPr>
          <w:rStyle w:val="133"/>
          <w:rFonts w:ascii="楷体" w:eastAsia="楷体" w:cs="楷体"/>
          <w:sz w:val="32"/>
          <w:szCs w:val="32"/>
        </w:rPr>
      </w:pPr>
      <w:r>
        <w:rPr>
          <w:rStyle w:val="133"/>
          <w:rFonts w:ascii="楷体" w:eastAsia="楷体" w:cs="楷体" w:hint="eastAsia"/>
          <w:sz w:val="32"/>
          <w:szCs w:val="32"/>
        </w:rPr>
        <w:t>（二）基本原则</w:t>
      </w:r>
    </w:p>
    <w:p>
      <w:pPr>
        <w:spacing w:line="600" w:lineRule="exact"/>
        <w:ind w:firstLineChars="200" w:firstLine="640"/>
        <w:rPr>
          <w:rFonts w:ascii="仿宋_GB2312" w:eastAsia="仿宋_GB2312" w:cs="仿宋_GB2312"/>
          <w:sz w:val="32"/>
          <w:szCs w:val="32"/>
        </w:rPr>
      </w:pPr>
      <w:r>
        <w:rPr>
          <w:rFonts w:ascii="仿宋_GB2312" w:eastAsia="仿宋_GB2312" w:cs="仿宋_GB2312" w:hint="eastAsia"/>
          <w:color w:val="000000"/>
          <w:sz w:val="32"/>
          <w:szCs w:val="32"/>
        </w:rPr>
        <w:t>坚持“应联合尽联合”。合理统筹制定内部联合和部门联合工作计划，减少对企业现场检查次数，提高检查工作质量，切实解</w:t>
      </w:r>
      <w:r>
        <w:rPr>
          <w:rFonts w:ascii="仿宋_GB2312" w:eastAsia="仿宋_GB2312" w:cs="仿宋_GB2312" w:hint="eastAsia"/>
          <w:sz w:val="32"/>
          <w:szCs w:val="32"/>
        </w:rPr>
        <w:t>决多头监管、重复检查等问题，充分释放“放管服”改革和优化营商环境政策红利，进一步增强市场主体的获得感和满意度。</w:t>
      </w:r>
    </w:p>
    <w:p>
      <w:pPr>
        <w:spacing w:line="600" w:lineRule="exact"/>
        <w:ind w:firstLineChars="200" w:firstLine="640"/>
        <w:rPr>
          <w:rFonts w:ascii="仿宋_GB2312" w:eastAsia="仿宋_GB2312" w:cs="仿宋_GB2312"/>
          <w:sz w:val="32"/>
          <w:szCs w:val="32"/>
        </w:rPr>
      </w:pPr>
      <w:r>
        <w:rPr>
          <w:rFonts w:ascii="仿宋_GB2312" w:eastAsia="仿宋_GB2312" w:cs="仿宋_GB2312" w:hint="eastAsia"/>
          <w:sz w:val="32"/>
          <w:szCs w:val="32"/>
        </w:rPr>
        <w:t>坚持公平公正公开。加强公正监管，及时信息公开，强化结果运用，主动接受监督，从随机抽取、检查过程、结果认定、结果公开等方面全流程规范随机抽查工作。</w:t>
      </w:r>
    </w:p>
    <w:p>
      <w:pPr>
        <w:spacing w:line="600" w:lineRule="exact"/>
        <w:ind w:firstLineChars="200" w:firstLine="640"/>
        <w:rPr>
          <w:rStyle w:val="133"/>
          <w:rFonts w:ascii="黑体" w:eastAsia="黑体"/>
          <w:sz w:val="32"/>
          <w:szCs w:val="32"/>
        </w:rPr>
      </w:pPr>
      <w:r>
        <w:rPr>
          <w:rStyle w:val="133"/>
          <w:rFonts w:ascii="黑体" w:eastAsia="黑体" w:hint="eastAsia"/>
          <w:sz w:val="32"/>
          <w:szCs w:val="32"/>
        </w:rPr>
        <w:t>二、重点工作</w:t>
      </w:r>
    </w:p>
    <w:p>
      <w:pPr>
        <w:spacing w:line="600" w:lineRule="exact"/>
        <w:ind w:firstLineChars="200" w:firstLine="640"/>
        <w:rPr>
          <w:rFonts w:ascii="仿宋_GB2312" w:eastAsia="仿宋_GB2312" w:cs="仿宋_GB2312"/>
          <w:color w:val="000000"/>
          <w:sz w:val="32"/>
          <w:szCs w:val="32"/>
        </w:rPr>
      </w:pPr>
      <w:r>
        <w:rPr>
          <w:rFonts w:ascii="楷体" w:eastAsia="楷体" w:cs="楷体" w:hint="eastAsia"/>
          <w:sz w:val="32"/>
          <w:szCs w:val="32"/>
        </w:rPr>
        <w:t>（一）科学制定随机抽查事项清单。</w:t>
      </w:r>
      <w:r>
        <w:rPr>
          <w:rFonts w:ascii="仿宋_GB2312" w:eastAsia="仿宋_GB2312" w:cs="仿宋_GB2312" w:hint="eastAsia"/>
          <w:color w:val="000000"/>
          <w:sz w:val="32"/>
          <w:szCs w:val="32"/>
        </w:rPr>
        <w:t>随机抽查内容应包括检查事项名称、检查子项、事项类别、检查对象、检查主体、检查依据、检查内容、检查方式、是否适用联合抽查等内容。</w:t>
      </w:r>
    </w:p>
    <w:p>
      <w:pPr>
        <w:spacing w:line="600" w:lineRule="exact"/>
        <w:ind w:firstLineChars="200" w:firstLine="640"/>
        <w:rPr>
          <w:rFonts w:ascii="仿宋_GB2312" w:eastAsia="仿宋_GB2312" w:cs="仿宋_GB2312"/>
          <w:color w:val="000000"/>
          <w:sz w:val="32"/>
          <w:szCs w:val="32"/>
        </w:rPr>
      </w:pPr>
      <w:r>
        <w:rPr>
          <w:rFonts w:ascii="楷体" w:eastAsia="楷体" w:cs="楷体" w:hint="eastAsia"/>
          <w:sz w:val="32"/>
          <w:szCs w:val="32"/>
        </w:rPr>
        <w:t>（二）持续完善检查对象名录库。</w:t>
      </w:r>
      <w:r>
        <w:rPr>
          <w:rFonts w:ascii="仿宋_GB2312" w:eastAsia="仿宋_GB2312" w:cs="仿宋_GB2312" w:hint="eastAsia"/>
          <w:color w:val="000000"/>
          <w:sz w:val="32"/>
          <w:szCs w:val="32"/>
        </w:rPr>
        <w:t xml:space="preserve"> 要根据执法监管职责，建立健全以排污许可管理信息为基础，覆盖本行政区域的检查对象名录库。按照检查对象分布区域、行业产业类型、项目建设情况、排放污染物类型、生产规模、生产周期特点、监控类型、排污许可管理类别、排污单位信用记录、排污单位违法记录、信访举报情况、重污染天气绩效分级、生态环境信用评价、生态环境监督执法正面清单等要素，设置各类标识，并根据检查对象存续变动、信息变更、停工停产等情况实施动态调整。</w:t>
      </w:r>
    </w:p>
    <w:p>
      <w:pPr>
        <w:spacing w:line="600" w:lineRule="exact"/>
        <w:ind w:firstLineChars="200" w:firstLine="640"/>
        <w:rPr>
          <w:rFonts w:ascii="仿宋_GB2312" w:eastAsia="仿宋_GB2312" w:cs="仿宋_GB2312"/>
          <w:color w:val="000000"/>
          <w:sz w:val="32"/>
          <w:szCs w:val="32"/>
        </w:rPr>
      </w:pPr>
      <w:r>
        <w:rPr>
          <w:rFonts w:ascii="楷体" w:eastAsia="楷体" w:cs="楷体" w:hint="eastAsia"/>
          <w:sz w:val="32"/>
          <w:szCs w:val="32"/>
        </w:rPr>
        <w:t>（三）动态更新检查人员名录库。</w:t>
      </w:r>
      <w:r>
        <w:rPr>
          <w:rFonts w:ascii="仿宋_GB2312" w:eastAsia="仿宋_GB2312" w:cs="仿宋_GB2312" w:hint="eastAsia"/>
          <w:color w:val="000000"/>
          <w:sz w:val="32"/>
          <w:szCs w:val="32"/>
        </w:rPr>
        <w:t>建立健全检查人员名录库，原则上要将本单位所有具有行政执法资格的工作人员和从事日常监管的工作人员全部纳入。检查人员名录库要在明确姓名、单位、执法（工作）证号、职务岗位等身份信息的基础上，设立行政区域、工作年限、业务专长、部门岗位、年度检查次数等分类标注要素，并随人员岗位变动及工作进展情况进行动态调整。</w:t>
      </w:r>
    </w:p>
    <w:p>
      <w:pPr>
        <w:spacing w:line="600" w:lineRule="exact"/>
        <w:ind w:firstLineChars="200" w:firstLine="640"/>
        <w:rPr>
          <w:rFonts w:ascii="仿宋_GB2312" w:eastAsia="仿宋_GB2312" w:cs="仿宋_GB2312"/>
          <w:color w:val="000000"/>
          <w:sz w:val="32"/>
          <w:szCs w:val="32"/>
        </w:rPr>
      </w:pPr>
      <w:r>
        <w:rPr>
          <w:rFonts w:ascii="楷体" w:eastAsia="楷体" w:cs="楷体" w:hint="eastAsia"/>
          <w:sz w:val="32"/>
          <w:szCs w:val="32"/>
        </w:rPr>
        <w:t>（四）常态化开展联合抽查。</w:t>
      </w:r>
      <w:r>
        <w:rPr>
          <w:rFonts w:ascii="仿宋_GB2312" w:eastAsia="仿宋_GB2312" w:cs="仿宋_GB2312" w:hint="eastAsia"/>
          <w:color w:val="000000"/>
          <w:sz w:val="32"/>
          <w:szCs w:val="32"/>
        </w:rPr>
        <w:t>按照“双随机、一公开”监管工作领导小组办公室要求，在确保内部联合和部门联合随机抽查常态化、全覆盖的前提下，科学统筹制定年度内部联合和部门联合抽查计划，其中部门联合抽查比例不低于“双随机、一公开”监管工作领导小组办公室规定的年度联合随机抽查次数和检查主体数量要求，内部联合抽查比例不低于3%，着力提升部门内部联合和部门联合“双随机、一公开”监管效能，持续优化营商环境。</w:t>
      </w:r>
    </w:p>
    <w:p>
      <w:pPr>
        <w:spacing w:line="600" w:lineRule="exact"/>
        <w:ind w:firstLineChars="200" w:firstLine="640"/>
        <w:rPr>
          <w:rFonts w:ascii="仿宋_GB2312" w:eastAsia="仿宋_GB2312" w:cs="仿宋_GB2312"/>
          <w:color w:val="000000"/>
          <w:sz w:val="32"/>
          <w:szCs w:val="32"/>
        </w:rPr>
      </w:pPr>
      <w:r>
        <w:rPr>
          <w:rFonts w:ascii="楷体" w:eastAsia="楷体" w:cs="楷体" w:hint="eastAsia"/>
          <w:sz w:val="32"/>
          <w:szCs w:val="32"/>
        </w:rPr>
        <w:t>（十）按时公开随机抽查结果。</w:t>
      </w:r>
      <w:r>
        <w:rPr>
          <w:rFonts w:ascii="仿宋_GB2312" w:eastAsia="仿宋_GB2312" w:cs="仿宋_GB2312" w:hint="eastAsia"/>
          <w:color w:val="000000"/>
          <w:sz w:val="32"/>
          <w:szCs w:val="32"/>
        </w:rPr>
        <w:t>按照“谁检查、谁录入、谁公开”的原则，在完成检查工作并作出检查结果认定</w:t>
      </w:r>
      <w:r>
        <w:rPr>
          <w:rFonts w:ascii="仿宋_GB2312" w:eastAsia="仿宋_GB2312" w:cs="仿宋_GB2312"/>
          <w:color w:val="000000"/>
          <w:sz w:val="32"/>
          <w:szCs w:val="32"/>
        </w:rPr>
        <w:t>后</w:t>
      </w:r>
      <w:r>
        <w:rPr>
          <w:rFonts w:ascii="仿宋_GB2312" w:eastAsia="仿宋_GB2312" w:cs="仿宋_GB2312" w:hint="eastAsia"/>
          <w:color w:val="000000"/>
          <w:sz w:val="32"/>
          <w:szCs w:val="32"/>
        </w:rPr>
        <w:t>将检查结果通</w:t>
      </w:r>
      <w:r>
        <w:rPr>
          <w:rFonts w:ascii="仿宋_GB2312" w:eastAsia="仿宋_GB2312" w:cs="仿宋_GB2312"/>
          <w:color w:val="000000"/>
          <w:sz w:val="32"/>
          <w:szCs w:val="32"/>
        </w:rPr>
        <w:t>政府统一的信息平台</w:t>
      </w:r>
      <w:r>
        <w:rPr>
          <w:rFonts w:ascii="仿宋_GB2312" w:eastAsia="仿宋_GB2312" w:cs="仿宋_GB2312" w:hint="eastAsia"/>
          <w:color w:val="000000"/>
          <w:sz w:val="32"/>
          <w:szCs w:val="32"/>
        </w:rPr>
        <w:t>进行</w:t>
      </w:r>
      <w:r>
        <w:rPr>
          <w:rFonts w:ascii="仿宋_GB2312" w:eastAsia="仿宋_GB2312" w:cs="仿宋_GB2312"/>
          <w:color w:val="000000"/>
          <w:sz w:val="32"/>
          <w:szCs w:val="32"/>
        </w:rPr>
        <w:t>公示，</w:t>
      </w:r>
      <w:r>
        <w:rPr>
          <w:rFonts w:ascii="仿宋_GB2312" w:eastAsia="仿宋_GB2312" w:cs="仿宋_GB2312" w:hint="eastAsia"/>
          <w:color w:val="000000"/>
          <w:sz w:val="32"/>
          <w:szCs w:val="32"/>
        </w:rPr>
        <w:t>主动</w:t>
      </w:r>
      <w:r>
        <w:rPr>
          <w:rFonts w:ascii="仿宋_GB2312" w:eastAsia="仿宋_GB2312" w:cs="仿宋_GB2312"/>
          <w:color w:val="000000"/>
          <w:sz w:val="32"/>
          <w:szCs w:val="32"/>
        </w:rPr>
        <w:t>接受社会监督。</w:t>
      </w:r>
    </w:p>
    <w:p>
      <w:pPr>
        <w:spacing w:line="600" w:lineRule="exact"/>
        <w:ind w:firstLineChars="1250" w:firstLine="4000"/>
        <w:rPr>
          <w:rFonts w:ascii="仿宋_GB2312" w:eastAsia="仿宋_GB2312" w:cs="仿宋_GB2312"/>
          <w:color w:val="000000"/>
          <w:sz w:val="32"/>
          <w:szCs w:val="32"/>
        </w:rPr>
      </w:pPr>
    </w:p>
    <w:p>
      <w:pPr>
        <w:spacing w:line="600" w:lineRule="exact"/>
        <w:ind w:firstLineChars="1250" w:firstLine="4000"/>
        <w:rPr>
          <w:rFonts w:ascii="仿宋_GB2312" w:eastAsia="仿宋_GB2312" w:cs="仿宋_GB2312"/>
          <w:color w:val="000000"/>
          <w:sz w:val="32"/>
          <w:szCs w:val="32"/>
        </w:rPr>
      </w:pPr>
    </w:p>
    <w:p>
      <w:pPr>
        <w:spacing w:line="600" w:lineRule="exact"/>
        <w:ind w:firstLineChars="1250" w:firstLine="4000"/>
        <w:rPr>
          <w:rFonts w:ascii="仿宋_GB2312" w:eastAsia="仿宋_GB2312" w:cs="仿宋_GB2312"/>
          <w:color w:val="000000"/>
          <w:sz w:val="32"/>
          <w:szCs w:val="32"/>
        </w:rPr>
      </w:pPr>
    </w:p>
    <w:p>
      <w:pPr>
        <w:spacing w:line="600" w:lineRule="exact"/>
        <w:ind w:firstLineChars="1250" w:firstLine="4000"/>
        <w:rPr>
          <w:rFonts w:ascii="仿宋_GB2312" w:eastAsia="仿宋_GB2312" w:cs="仿宋_GB2312"/>
          <w:color w:val="000000"/>
          <w:sz w:val="32"/>
          <w:szCs w:val="32"/>
        </w:rPr>
      </w:pPr>
    </w:p>
    <w:p>
      <w:pPr>
        <w:spacing w:line="600" w:lineRule="exact"/>
        <w:ind w:firstLineChars="1250" w:firstLine="4000"/>
        <w:rPr>
          <w:rFonts w:ascii="仿宋_GB2312" w:eastAsia="仿宋_GB2312" w:cs="仿宋_GB2312"/>
          <w:color w:val="000000"/>
          <w:sz w:val="32"/>
          <w:szCs w:val="32"/>
        </w:rPr>
      </w:pPr>
    </w:p>
    <w:p>
      <w:pPr>
        <w:spacing w:line="600" w:lineRule="exact"/>
        <w:ind w:firstLineChars="1250" w:firstLine="4000"/>
        <w:rPr>
          <w:rFonts w:ascii="仿宋_GB2312" w:eastAsia="仿宋_GB2312" w:cs="仿宋_GB2312"/>
          <w:color w:val="000000"/>
          <w:sz w:val="32"/>
          <w:szCs w:val="32"/>
        </w:rPr>
      </w:pPr>
      <w:r>
        <w:rPr>
          <w:rFonts w:ascii="仿宋_GB2312" w:eastAsia="仿宋_GB2312" w:cs="仿宋_GB2312" w:hint="eastAsia"/>
          <w:color w:val="000000"/>
          <w:sz w:val="32"/>
          <w:szCs w:val="32"/>
        </w:rPr>
        <w:t>保定市生态环境局涞源县分局</w:t>
      </w:r>
    </w:p>
    <w:p>
      <w:pPr>
        <w:ind w:firstLineChars="1550" w:firstLine="4960"/>
        <w:rPr>
          <w:rFonts w:hint="eastAsia"/>
        </w:rPr>
      </w:pPr>
      <w:r>
        <w:rPr>
          <w:rFonts w:ascii="仿宋_GB2312" w:eastAsia="仿宋_GB2312" w:cs="仿宋_GB2312" w:hint="eastAsia"/>
          <w:color w:val="000000"/>
          <w:sz w:val="32"/>
          <w:szCs w:val="32"/>
        </w:rPr>
        <w:t>202</w:t>
      </w:r>
      <w:r>
        <w:rPr>
          <w:rFonts w:ascii="仿宋_GB2312" w:eastAsia="仿宋_GB2312" w:cs="仿宋_GB2312" w:hint="eastAsia"/>
          <w:color w:val="000000"/>
          <w:sz w:val="32"/>
          <w:szCs w:val="32"/>
          <w:lang w:val="en-US" w:eastAsia="zh-CN"/>
        </w:rPr>
        <w:t>6</w:t>
      </w:r>
      <w:r>
        <w:rPr>
          <w:rFonts w:ascii="仿宋_GB2312" w:eastAsia="仿宋_GB2312" w:cs="仿宋_GB2312" w:hint="eastAsia"/>
          <w:color w:val="000000"/>
          <w:sz w:val="32"/>
          <w:szCs w:val="32"/>
        </w:rPr>
        <w:t>年</w:t>
      </w:r>
      <w:r>
        <w:rPr>
          <w:rFonts w:ascii="仿宋_GB2312" w:eastAsia="仿宋_GB2312" w:cs="仿宋_GB2312" w:hint="eastAsia"/>
          <w:color w:val="000000"/>
          <w:sz w:val="32"/>
          <w:szCs w:val="32"/>
          <w:lang w:val="en-US" w:eastAsia="zh-CN"/>
        </w:rPr>
        <w:t>2</w:t>
      </w:r>
      <w:r>
        <w:rPr>
          <w:rFonts w:ascii="仿宋_GB2312" w:eastAsia="仿宋_GB2312" w:cs="仿宋_GB2312" w:hint="eastAsia"/>
          <w:color w:val="000000"/>
          <w:sz w:val="32"/>
          <w:szCs w:val="32"/>
        </w:rPr>
        <w:t>月</w:t>
      </w:r>
      <w:r>
        <w:rPr>
          <w:rFonts w:ascii="仿宋_GB2312" w:eastAsia="仿宋_GB2312" w:cs="仿宋_GB2312" w:hint="eastAsia"/>
          <w:color w:val="000000"/>
          <w:sz w:val="32"/>
          <w:szCs w:val="32"/>
          <w:lang w:val="en-US" w:eastAsia="zh-CN"/>
        </w:rPr>
        <w:t>13</w:t>
      </w:r>
      <w:r>
        <w:rPr>
          <w:rFonts w:ascii="仿宋_GB2312" w:eastAsia="仿宋_GB2312" w:cs="仿宋_GB2312" w:hint="eastAsia"/>
          <w:color w:val="000000"/>
          <w:sz w:val="32"/>
          <w:szCs w:val="32"/>
        </w:rPr>
        <w:t>日</w:t>
      </w:r>
      <w:bookmarkStart w:id="0" w:name="_GoBack"/>
      <w:bookmarkEnd w:id="0"/>
    </w:p>
    <w:sectPr>
      <w:pgSz w:w="11907" w:h="16840"/>
      <w:pgMar w:top="2098" w:right="1531" w:bottom="1985" w:left="1531"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方正小标宋简体">
    <w:panose1 w:val="02010601030101010101"/>
    <w:charset w:val="86"/>
    <w:family w:val="auto"/>
    <w:pitch w:val="variable"/>
    <w:sig w:usb0="00000001" w:usb1="080E0000" w:usb2="00000000" w:usb3="00000000" w:csb0="00040000" w:csb1="00000000"/>
  </w:font>
  <w:font w:name="仿宋_GB2312">
    <w:panose1 w:val="02010609030101010101"/>
    <w:charset w:val="86"/>
    <w:family w:val="auto"/>
    <w:pitch w:val="variable"/>
    <w:sig w:usb0="00000001" w:usb1="080E0000" w:usb2="00000000" w:usb3="00000000" w:csb0="00040000" w:csb1="00000000"/>
  </w:font>
  <w:font w:name="仿宋">
    <w:panose1 w:val="02010609060101010101"/>
    <w:charset w:val="86"/>
    <w:family w:val="auto"/>
    <w:pitch w:val="variable"/>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黑体">
    <w:panose1 w:val="02010609060101010101"/>
    <w:charset w:val="86"/>
    <w:family w:val="auto"/>
    <w:pitch w:val="variable"/>
    <w:sig w:usb0="800002BF" w:usb1="38CF7CFA" w:usb2="00000016" w:usb3="00000000" w:csb0="00040001" w:csb1="00000000"/>
  </w:font>
  <w:font w:name="楷体">
    <w:panose1 w:val="02010609060101010101"/>
    <w:charset w:val="86"/>
    <w:family w:val="auto"/>
    <w:pitch w:val="variable"/>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displayBackgroundShape/>
  <w:bordersDoNotSurroundHeader/>
  <w:bordersDoNotSurroundFooter/>
  <w:defaultTabStop w:val="420"/>
  <w:drawingGridHorizontalSpacing w:val="105"/>
  <w:drawingGridVerticalSpacing w:val="156"/>
  <w:displayHorizontalDrawingGridEvery w:val="0"/>
  <w:displayVerticalDrawingGridEvery w:val="1"/>
  <w:characterSpacingControl w:val="compressPunctuation"/>
  <w:compat>
    <w:spaceForUL/>
    <w:balanceSingleByteDoubleByteWidth/>
    <w:ulTrailSpace/>
    <w:doNotExpandShiftReturn/>
    <w:adjustLineHeightInTable/>
    <w:useAltKinsokuLineBreakRules/>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spacing w:line="240" w:lineRule="auto"/>
      <w:jc w:val="both"/>
    </w:pPr>
    <w:rPr>
      <w:rFonts w:ascii="Times New Roman" w:eastAsia="宋体" w:cs="Times New Roman" w:hAnsi="Times New Roman"/>
      <w:kern w:val="2"/>
      <w:sz w:val="21"/>
      <w:szCs w:val="21"/>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6">
    <w:name w:val="index 6"/>
    <w:basedOn w:val="0"/>
    <w:autoRedefine/>
    <w:next w:val="0"/>
    <w:pPr>
      <w:ind w:left="2100"/>
    </w:pPr>
  </w:style>
  <w:style w:type="character" w:customStyle="1" w:styleId="133">
    <w:name w:val="NormalCharacte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3186</TotalTime>
  <Application>Yozo_Office27021597764231179</Application>
  <Pages>4</Pages>
  <Words>1396</Words>
  <Characters>1417</Characters>
  <Lines>70</Lines>
  <Paragraphs>20</Paragraphs>
  <CharactersWithSpaces>1421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dh</dc:creator>
  <cp:lastModifiedBy>dh</cp:lastModifiedBy>
  <cp:revision>1</cp:revision>
  <cp:lastPrinted>2026-03-18T02:35:01Z</cp:lastPrinted>
  <dcterms:created xsi:type="dcterms:W3CDTF">2026-01-24T09:03:29Z</dcterms:created>
  <dcterms:modified xsi:type="dcterms:W3CDTF">2026-03-18T02:35:04Z</dcterms:modified>
</cp:coreProperties>
</file>