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CE39A7">
      <w:pPr>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涞源县农业农村局</w:t>
      </w:r>
    </w:p>
    <w:p w14:paraId="42E1F4D1">
      <w:pPr>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2024年度法治政府建设工作报告</w:t>
      </w:r>
    </w:p>
    <w:p w14:paraId="606DE79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在县委、县政府正确领导下，在县依法治县办指导下，涞源县农业农村局结合全县农业农村工作重点，加强组织领导，依法全面履行政府职能，坚持严格规范公正文明执法，全面提高执法工作人员法治思维和依法行政能力，扎实推动法治政府建设。现将工作情况报告如下：</w:t>
      </w:r>
    </w:p>
    <w:p w14:paraId="48A13F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一、2024年法治政府建设的主要举措和成效</w:t>
      </w:r>
    </w:p>
    <w:p w14:paraId="73C4125C">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仿宋" w:eastAsia="仿宋"/>
          <w:sz w:val="32"/>
          <w:szCs w:val="32"/>
          <w:lang w:val="en-US" w:eastAsia="zh-CN"/>
        </w:rPr>
      </w:pPr>
      <w:r>
        <w:rPr>
          <w:rFonts w:hint="eastAsia" w:ascii="仿宋_GB2312" w:hAnsi="仿宋_GB2312" w:eastAsia="仿宋_GB2312" w:cs="仿宋_GB2312"/>
          <w:sz w:val="32"/>
          <w:szCs w:val="32"/>
          <w:lang w:val="en-US" w:eastAsia="zh-CN"/>
        </w:rPr>
        <w:t>建立健全工作机制。一是健全法治建设领导机制。落实局长法治建设第一责任人职责，将法治建设工作与中心工作同部署、同落实。二是健全行政执法审查机制。成立重大行政执法决定审核委员会，推进行政许可、行政处罚、行政强制等重大行政执法决定的审核。三是健全干部学法用法工作机制。</w:t>
      </w:r>
      <w:r>
        <w:rPr>
          <w:rFonts w:hint="eastAsia" w:ascii="仿宋" w:eastAsia="仿宋"/>
          <w:sz w:val="32"/>
          <w:szCs w:val="32"/>
          <w:lang w:val="en-US" w:eastAsia="zh-CN"/>
        </w:rPr>
        <w:t>将习近平法治思想纳入局党组中心组集体学习计划，开展法治专题研讨。</w:t>
      </w:r>
    </w:p>
    <w:p w14:paraId="39F46BE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加强法治队伍建设。一是提升执法人员的业务能力，加强党的政治建设，制定并落实年度计划，建立培训台账，确保执法人员全年不少于30课时的培训，并全员通过验证考试。二是推进行政执法事项赋权乡镇工作，我局分别于8月6日、9月19日组织全县乡镇执法人员集体培训，通过培训</w:t>
      </w:r>
      <w:r>
        <w:rPr>
          <w:rFonts w:ascii="仿宋" w:eastAsia="仿宋"/>
          <w:sz w:val="32"/>
          <w:szCs w:val="32"/>
        </w:rPr>
        <w:t>确保乡镇</w:t>
      </w:r>
      <w:r>
        <w:rPr>
          <w:rFonts w:hint="eastAsia" w:ascii="仿宋" w:eastAsia="仿宋"/>
          <w:sz w:val="32"/>
          <w:szCs w:val="32"/>
        </w:rPr>
        <w:t>“接得住、管得好”</w:t>
      </w:r>
      <w:r>
        <w:rPr>
          <w:rFonts w:ascii="仿宋" w:eastAsia="仿宋"/>
          <w:sz w:val="32"/>
          <w:szCs w:val="32"/>
        </w:rPr>
        <w:t>下放和委托的行政执法事项，更好地帮助乡镇履行行政执法职责，不断助力乡镇综合执法工作提质增效，</w:t>
      </w:r>
      <w:r>
        <w:rPr>
          <w:rFonts w:hint="eastAsia" w:ascii="仿宋" w:eastAsia="仿宋"/>
          <w:sz w:val="32"/>
          <w:szCs w:val="32"/>
          <w:lang w:val="en-US" w:eastAsia="zh-CN"/>
        </w:rPr>
        <w:t>同时</w:t>
      </w:r>
      <w:r>
        <w:rPr>
          <w:rFonts w:hint="eastAsia" w:ascii="仿宋_GB2312" w:hAnsi="仿宋_GB2312" w:eastAsia="仿宋_GB2312" w:cs="仿宋_GB2312"/>
          <w:sz w:val="32"/>
          <w:szCs w:val="32"/>
          <w:lang w:val="en-US" w:eastAsia="zh-CN"/>
        </w:rPr>
        <w:t>印制相关法律法规小册子50余份发放至乡镇执法人员手中。通过培训、完善执法装备配备、规范执法行为等措施，不断提高执法人员的执法水平和综合素质。</w:t>
      </w:r>
    </w:p>
    <w:p w14:paraId="5615D56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rPr>
        <w:t>加大农业领域执法力度。组织开展</w:t>
      </w:r>
      <w:r>
        <w:rPr>
          <w:rFonts w:hint="eastAsia" w:ascii="仿宋_GB2312" w:hAnsi="仿宋_GB2312" w:eastAsia="仿宋_GB2312" w:cs="仿宋_GB2312"/>
          <w:sz w:val="32"/>
          <w:szCs w:val="32"/>
          <w:lang w:val="en-US" w:eastAsia="zh-CN"/>
        </w:rPr>
        <w:t>规范罚款、行政执法领域突出问题</w:t>
      </w:r>
      <w:r>
        <w:rPr>
          <w:rFonts w:hint="eastAsia" w:ascii="仿宋_GB2312" w:hAnsi="仿宋_GB2312" w:eastAsia="仿宋_GB2312" w:cs="仿宋_GB2312"/>
          <w:sz w:val="32"/>
          <w:szCs w:val="32"/>
        </w:rPr>
        <w:t>专项执法行动，聚焦执法办案主体，加大执法办案力度，严厉打击农业领域违法行为，为维护健康、安全、有序的农业生产经营环境和市场秩序提供执法保障。截至</w:t>
      </w:r>
      <w:r>
        <w:rPr>
          <w:rFonts w:hint="eastAsia" w:ascii="仿宋_GB2312" w:hAnsi="仿宋_GB2312" w:eastAsia="仿宋_GB2312" w:cs="仿宋_GB2312"/>
          <w:sz w:val="32"/>
          <w:szCs w:val="32"/>
          <w:lang w:val="en-US" w:eastAsia="zh-CN"/>
        </w:rPr>
        <w:t>2024年底</w:t>
      </w:r>
      <w:r>
        <w:rPr>
          <w:rFonts w:hint="eastAsia" w:ascii="仿宋_GB2312" w:hAnsi="仿宋_GB2312" w:eastAsia="仿宋_GB2312" w:cs="仿宋_GB2312"/>
          <w:sz w:val="32"/>
          <w:szCs w:val="32"/>
        </w:rPr>
        <w:t>，我局共查处行政处罚案件</w:t>
      </w:r>
      <w:r>
        <w:rPr>
          <w:rFonts w:hint="eastAsia" w:ascii="仿宋_GB2312" w:hAnsi="仿宋_GB2312" w:eastAsia="仿宋_GB2312" w:cs="仿宋_GB2312"/>
          <w:sz w:val="32"/>
          <w:szCs w:val="32"/>
          <w:lang w:val="en-US" w:eastAsia="zh-CN"/>
        </w:rPr>
        <w:t>32</w:t>
      </w:r>
      <w:r>
        <w:rPr>
          <w:rFonts w:hint="eastAsia" w:ascii="仿宋_GB2312" w:hAnsi="仿宋_GB2312" w:eastAsia="仿宋_GB2312" w:cs="仿宋_GB2312"/>
          <w:sz w:val="32"/>
          <w:szCs w:val="32"/>
        </w:rPr>
        <w:t>起，</w:t>
      </w:r>
      <w:r>
        <w:rPr>
          <w:rFonts w:hint="eastAsia" w:ascii="仿宋_GB2312" w:hAnsi="仿宋_GB2312" w:eastAsia="仿宋_GB2312" w:cs="仿宋_GB2312"/>
          <w:sz w:val="32"/>
          <w:szCs w:val="32"/>
          <w:lang w:val="en-US" w:eastAsia="zh-CN"/>
        </w:rPr>
        <w:t>结案28起，共计罚款15.145</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没收违法所得0.52743万元</w:t>
      </w:r>
      <w:r>
        <w:rPr>
          <w:rFonts w:hint="eastAsia" w:ascii="仿宋_GB2312" w:hAnsi="仿宋_GB2312" w:eastAsia="仿宋_GB2312" w:cs="仿宋_GB2312"/>
          <w:sz w:val="32"/>
          <w:szCs w:val="32"/>
        </w:rPr>
        <w:t>。</w:t>
      </w:r>
    </w:p>
    <w:p w14:paraId="0DA8AA5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强化行刑衔接。加强与公安、市场监管等部门的协作配合，建立健全行刑衔接工作机制，加强案件移送和信息共享，形成打击涉农违法犯罪的强大合力。今年以来接收公安机关移送案件2起，向市场监管局移送案件1起。</w:t>
      </w:r>
    </w:p>
    <w:p w14:paraId="4169816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eastAsia="仿宋"/>
          <w:sz w:val="32"/>
          <w:szCs w:val="32"/>
        </w:rPr>
      </w:pPr>
      <w:r>
        <w:rPr>
          <w:rFonts w:hint="eastAsia" w:ascii="仿宋_GB2312" w:hAnsi="仿宋_GB2312" w:eastAsia="仿宋_GB2312" w:cs="仿宋_GB2312"/>
          <w:sz w:val="32"/>
          <w:szCs w:val="32"/>
          <w:lang w:val="en-US" w:eastAsia="zh-CN"/>
        </w:rPr>
        <w:t>（五）</w:t>
      </w:r>
      <w:r>
        <w:rPr>
          <w:rFonts w:hint="eastAsia" w:ascii="仿宋" w:eastAsia="仿宋"/>
          <w:sz w:val="32"/>
          <w:szCs w:val="32"/>
        </w:rPr>
        <w:t>推进</w:t>
      </w:r>
      <w:r>
        <w:rPr>
          <w:rFonts w:hint="eastAsia" w:ascii="仿宋" w:eastAsia="仿宋"/>
          <w:sz w:val="32"/>
          <w:szCs w:val="32"/>
          <w:lang w:eastAsia="zh-CN"/>
        </w:rPr>
        <w:t>“</w:t>
      </w:r>
      <w:r>
        <w:rPr>
          <w:rFonts w:hint="eastAsia" w:ascii="仿宋" w:eastAsia="仿宋"/>
          <w:sz w:val="32"/>
          <w:szCs w:val="32"/>
          <w:lang w:val="en-US" w:eastAsia="zh-CN"/>
        </w:rPr>
        <w:t>双随机、一公开”</w:t>
      </w:r>
      <w:r>
        <w:rPr>
          <w:rFonts w:hint="eastAsia" w:ascii="仿宋" w:eastAsia="仿宋"/>
          <w:sz w:val="32"/>
          <w:szCs w:val="32"/>
        </w:rPr>
        <w:t>监督检查。根据《202</w:t>
      </w:r>
      <w:r>
        <w:rPr>
          <w:rFonts w:hint="eastAsia" w:ascii="仿宋" w:eastAsia="仿宋"/>
          <w:sz w:val="32"/>
          <w:szCs w:val="32"/>
          <w:lang w:val="en-US" w:eastAsia="zh-CN"/>
        </w:rPr>
        <w:t>4</w:t>
      </w:r>
      <w:r>
        <w:rPr>
          <w:rFonts w:hint="eastAsia" w:ascii="仿宋" w:eastAsia="仿宋"/>
          <w:sz w:val="32"/>
          <w:szCs w:val="32"/>
        </w:rPr>
        <w:t>年涞源县“双随机、一公开”监管工作实施方案》，制定《202</w:t>
      </w:r>
      <w:r>
        <w:rPr>
          <w:rFonts w:hint="eastAsia" w:ascii="仿宋" w:eastAsia="仿宋"/>
          <w:sz w:val="32"/>
          <w:szCs w:val="32"/>
          <w:lang w:val="en-US" w:eastAsia="zh-CN"/>
        </w:rPr>
        <w:t>4</w:t>
      </w:r>
      <w:r>
        <w:rPr>
          <w:rFonts w:hint="eastAsia" w:ascii="仿宋" w:eastAsia="仿宋"/>
          <w:sz w:val="32"/>
          <w:szCs w:val="32"/>
        </w:rPr>
        <w:t>年涞源县农业农村局随机抽查方案》，</w:t>
      </w:r>
      <w:r>
        <w:rPr>
          <w:rFonts w:hint="eastAsia" w:ascii="仿宋" w:eastAsia="仿宋"/>
          <w:sz w:val="32"/>
          <w:szCs w:val="32"/>
          <w:lang w:val="en-US" w:eastAsia="zh-CN"/>
        </w:rPr>
        <w:t>全年完成双随机系统跨部门联合抽查（与市场监管局、生态与环境局、统战部）</w:t>
      </w:r>
      <w:r>
        <w:rPr>
          <w:rFonts w:hint="eastAsia" w:ascii="仿宋" w:eastAsia="仿宋"/>
          <w:sz w:val="32"/>
          <w:szCs w:val="32"/>
        </w:rPr>
        <w:t>第一轮双随机抽取六大领域检查对象</w:t>
      </w:r>
      <w:r>
        <w:rPr>
          <w:rFonts w:hint="eastAsia" w:ascii="仿宋" w:eastAsia="仿宋"/>
          <w:sz w:val="32"/>
          <w:szCs w:val="32"/>
          <w:lang w:eastAsia="zh-CN"/>
        </w:rPr>
        <w:t>、</w:t>
      </w:r>
      <w:r>
        <w:rPr>
          <w:rFonts w:hint="eastAsia" w:ascii="仿宋" w:eastAsia="仿宋"/>
          <w:sz w:val="32"/>
          <w:szCs w:val="32"/>
          <w:lang w:val="en-US" w:eastAsia="zh-CN"/>
        </w:rPr>
        <w:t>第二轮随机抽取十大领域检查对象，随机抽取执法检查人员4人，在规定时间</w:t>
      </w:r>
      <w:r>
        <w:rPr>
          <w:rFonts w:hint="eastAsia" w:ascii="仿宋" w:eastAsia="仿宋"/>
          <w:sz w:val="32"/>
          <w:szCs w:val="32"/>
        </w:rPr>
        <w:t>公开监管执法的依据、内容、标准、程序和处罚结果，100％完成本年度任务。</w:t>
      </w:r>
    </w:p>
    <w:p w14:paraId="053EEEB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eastAsia="仿宋"/>
          <w:sz w:val="32"/>
          <w:szCs w:val="32"/>
        </w:rPr>
      </w:pPr>
      <w:r>
        <w:rPr>
          <w:rFonts w:hint="eastAsia" w:ascii="仿宋_GB2312" w:hAnsi="仿宋_GB2312" w:eastAsia="仿宋_GB2312" w:cs="仿宋_GB2312"/>
          <w:sz w:val="32"/>
          <w:szCs w:val="32"/>
          <w:lang w:val="en-US" w:eastAsia="zh-CN"/>
        </w:rPr>
        <w:t>（六）加强普法宣传。一是结合“3.15”消费者权益日、</w:t>
      </w:r>
      <w:r>
        <w:rPr>
          <w:rFonts w:hint="eastAsia" w:ascii="仿宋_GB2312" w:hAnsi="仿宋_GB2312" w:eastAsia="仿宋_GB2312" w:cs="仿宋_GB2312"/>
          <w:sz w:val="32"/>
          <w:szCs w:val="32"/>
        </w:rPr>
        <w:t>《民法典》宣传月</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春防、秋防、农次打假</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宪法”宣传周</w:t>
      </w:r>
      <w:r>
        <w:rPr>
          <w:rFonts w:hint="eastAsia" w:ascii="仿宋_GB2312" w:hAnsi="仿宋_GB2312" w:eastAsia="仿宋_GB2312" w:cs="仿宋_GB2312"/>
          <w:sz w:val="32"/>
          <w:szCs w:val="32"/>
        </w:rPr>
        <w:t>等时间节点，</w:t>
      </w:r>
      <w:r>
        <w:rPr>
          <w:rFonts w:hint="eastAsia" w:ascii="仿宋_GB2312" w:hAnsi="仿宋_GB2312" w:eastAsia="仿宋_GB2312" w:cs="仿宋_GB2312"/>
          <w:sz w:val="32"/>
          <w:szCs w:val="32"/>
          <w:lang w:val="en-US" w:eastAsia="zh-CN"/>
        </w:rPr>
        <w:t>通过发放宣传资料、现场咨询等形式，广泛宣传农业法律法规和政策知识。二是严格落实“谁执法谁普法”责任制，普法与日常工作相结合，</w:t>
      </w:r>
      <w:r>
        <w:rPr>
          <w:rFonts w:hint="eastAsia" w:ascii="仿宋" w:eastAsia="仿宋"/>
          <w:sz w:val="32"/>
          <w:szCs w:val="32"/>
        </w:rPr>
        <w:t>广泛宣传国家有关法律法规和行业内的法律法规，为企业传递法律知识，加强企业法律意识，对企业遇到业务上的问题及时进行解答和反馈。</w:t>
      </w:r>
    </w:p>
    <w:p w14:paraId="2BE6A6E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二、2024年度推进法治政府建设存在的主要问题</w:t>
      </w:r>
    </w:p>
    <w:p w14:paraId="43DFDAC6">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法律知识学习不够，执法人员缺乏系统培训，能力有待提高。</w:t>
      </w:r>
    </w:p>
    <w:p w14:paraId="64EB82B3">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法治宣传力度有待加强，载体形式不够丰富。</w:t>
      </w:r>
    </w:p>
    <w:p w14:paraId="0730FAF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三、2024年度党政主工负责人履行推进法治建设第一职责，加强法治政府建设有关情况</w:t>
      </w:r>
    </w:p>
    <w:p w14:paraId="5B5F0A83">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10" w:leftChars="0" w:firstLine="64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落实法治政府建设</w:t>
      </w:r>
      <w:r>
        <w:rPr>
          <w:rFonts w:hint="eastAsia" w:ascii="仿宋_GB2312" w:hAnsi="仿宋_GB2312" w:eastAsia="仿宋_GB2312" w:cs="仿宋_GB2312"/>
          <w:sz w:val="32"/>
          <w:szCs w:val="32"/>
          <w:lang w:val="en-US" w:eastAsia="zh-CN"/>
        </w:rPr>
        <w:t>领导责任</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严格落实党政主要负责人履行推进法治建设第一责任人职责，</w:t>
      </w:r>
      <w:r>
        <w:rPr>
          <w:rFonts w:hint="eastAsia" w:ascii="仿宋_GB2312" w:hAnsi="仿宋_GB2312" w:eastAsia="仿宋_GB2312" w:cs="仿宋_GB2312"/>
          <w:sz w:val="32"/>
          <w:szCs w:val="32"/>
        </w:rPr>
        <w:t>局主要领导履行推进法治建设第一责任人职责列入年终述职内容将法治政府建设摆在全局工作的重要位置，切实履行第一责任人职责，充分发挥法治政府建设领导班子作用，研究部署法治政府建设、行政执法监督、法治宣传等方面工作，并纳入全局年度工作要点。</w:t>
      </w:r>
    </w:p>
    <w:p w14:paraId="146902C4">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10" w:leftChars="0" w:firstLine="64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强化法治思想学习贯彻。将学习贯彻习近平法治思想作为首要政任务，纳入局党组理论学习中心组学习重点内容，通过集中学习、专题研讨、自学等形式，学刻领会习近平法治思想的核心要义、精神实质和实践要求，不断提高僵尸中干部职工运用法治思维和法治方式深化改革、推动发展化解矛盾、维护稳定的能力。今年以来共组织党组理论学习中心组学习 23次，专题研讨20次。</w:t>
      </w:r>
    </w:p>
    <w:p w14:paraId="24531F03">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10" w:leftChars="0" w:firstLine="64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加强局党组对法治工作的统一领导。坚持将法治政府建设工作内容纳入局党组会议内容，听取年度法治政府建设及行政复议、行政诉讼、政务公开等情况工作报告，主工负责人严格要求自我，坚持做到依法行政，并督促领导政子成员依法办事，正确履行职责。</w:t>
      </w:r>
    </w:p>
    <w:p w14:paraId="7C62D2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四、2025年度法治政府建设主要安排</w:t>
      </w:r>
    </w:p>
    <w:p w14:paraId="27BA03EC">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进一步提升行政执法水平。加强执法人员培训，提高执法人员的业务素质和执法能力。严格落实行政执法“三项制度”，规范执法程序，提高执法文书制作质量。</w:t>
      </w:r>
    </w:p>
    <w:p w14:paraId="0C545D69">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持续加强法治思想学习贯彻。深入学习贯彻习近平法治思想，不断提高全局干部职工的法治意识和法治素养，切实把法治思想转化为推进法治政府建设的实际行动。</w:t>
      </w:r>
    </w:p>
    <w:p w14:paraId="64B63BA4">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创新普法宣传方式方法。结合农业农村工作实际，创新普法宣传方式方法，增强普法宣传的针对性和实效性。</w:t>
      </w:r>
      <w:r>
        <w:rPr>
          <w:rFonts w:hint="eastAsia" w:ascii="仿宋" w:eastAsia="仿宋"/>
          <w:sz w:val="32"/>
          <w:szCs w:val="32"/>
        </w:rPr>
        <w:t>加大“法律进村入户”宣传活动力度</w:t>
      </w:r>
      <w:r>
        <w:rPr>
          <w:rFonts w:hint="eastAsia" w:ascii="仿宋" w:eastAsia="仿宋"/>
          <w:sz w:val="32"/>
          <w:szCs w:val="32"/>
          <w:lang w:eastAsia="zh-CN"/>
        </w:rPr>
        <w:t>，</w:t>
      </w:r>
      <w:r>
        <w:rPr>
          <w:rFonts w:hint="eastAsia" w:ascii="仿宋" w:eastAsia="仿宋"/>
          <w:sz w:val="32"/>
          <w:szCs w:val="32"/>
          <w:lang w:val="en-US" w:eastAsia="zh-CN"/>
        </w:rPr>
        <w:t>提高农民群众的法治意识和法治观念。</w:t>
      </w:r>
    </w:p>
    <w:p w14:paraId="7EBDC3EA">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加强法治政府建设组织领导。严格落实党政主要负责人履行推进法治建设第一责任人职责，加强对法治政府建设工作的组织领导和统筹协调，确保法治政府建设各项任务落到实处。</w:t>
      </w:r>
    </w:p>
    <w:p w14:paraId="314EC88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14:paraId="7738EFC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14:paraId="5673ED1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440" w:firstLineChars="1700"/>
        <w:jc w:val="both"/>
        <w:textAlignment w:val="auto"/>
        <w:rPr>
          <w:rFonts w:hint="eastAsia" w:ascii="仿宋_GB2312" w:hAnsi="仿宋_GB2312" w:eastAsia="仿宋_GB2312" w:cs="仿宋_GB2312"/>
          <w:sz w:val="32"/>
          <w:szCs w:val="32"/>
          <w:lang w:val="en-US" w:eastAsia="zh-CN"/>
        </w:rPr>
      </w:pPr>
      <w:bookmarkStart w:id="0" w:name="_GoBack"/>
      <w:bookmarkEnd w:id="0"/>
    </w:p>
    <w:p w14:paraId="2E3B8B7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440" w:firstLineChars="17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涞源县农业农村局</w:t>
      </w:r>
    </w:p>
    <w:p w14:paraId="3DB100C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440" w:firstLineChars="17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2025年2月28日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E3B1A3"/>
    <w:multiLevelType w:val="singleLevel"/>
    <w:tmpl w:val="BEE3B1A3"/>
    <w:lvl w:ilvl="0" w:tentative="0">
      <w:start w:val="1"/>
      <w:numFmt w:val="chineseCounting"/>
      <w:suff w:val="nothing"/>
      <w:lvlText w:val="（%1）"/>
      <w:lvlJc w:val="left"/>
      <w:rPr>
        <w:rFonts w:hint="eastAsia"/>
      </w:rPr>
    </w:lvl>
  </w:abstractNum>
  <w:abstractNum w:abstractNumId="1">
    <w:nsid w:val="C1D8A606"/>
    <w:multiLevelType w:val="singleLevel"/>
    <w:tmpl w:val="C1D8A606"/>
    <w:lvl w:ilvl="0" w:tentative="0">
      <w:start w:val="1"/>
      <w:numFmt w:val="chineseCounting"/>
      <w:suff w:val="nothing"/>
      <w:lvlText w:val="（%1）"/>
      <w:lvlJc w:val="left"/>
      <w:pPr>
        <w:ind w:left="-10"/>
      </w:pPr>
      <w:rPr>
        <w:rFonts w:hint="eastAsia"/>
      </w:rPr>
    </w:lvl>
  </w:abstractNum>
  <w:abstractNum w:abstractNumId="2">
    <w:nsid w:val="4583D3F3"/>
    <w:multiLevelType w:val="singleLevel"/>
    <w:tmpl w:val="4583D3F3"/>
    <w:lvl w:ilvl="0" w:tentative="0">
      <w:start w:val="1"/>
      <w:numFmt w:val="chineseCounting"/>
      <w:suff w:val="nothing"/>
      <w:lvlText w:val="（%1）"/>
      <w:lvlJc w:val="left"/>
      <w:rPr>
        <w:rFonts w:hint="eastAsia"/>
      </w:rPr>
    </w:lvl>
  </w:abstractNum>
  <w:abstractNum w:abstractNumId="3">
    <w:nsid w:val="4812C69D"/>
    <w:multiLevelType w:val="singleLevel"/>
    <w:tmpl w:val="4812C69D"/>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B603D2"/>
    <w:rsid w:val="05CE0B1A"/>
    <w:rsid w:val="06086540"/>
    <w:rsid w:val="07F868D4"/>
    <w:rsid w:val="09D26061"/>
    <w:rsid w:val="0A560A40"/>
    <w:rsid w:val="0B444D3D"/>
    <w:rsid w:val="10CB70DB"/>
    <w:rsid w:val="15C40F54"/>
    <w:rsid w:val="188B049B"/>
    <w:rsid w:val="1DC67833"/>
    <w:rsid w:val="1E087E4C"/>
    <w:rsid w:val="2059673D"/>
    <w:rsid w:val="26F86CAF"/>
    <w:rsid w:val="272F7C10"/>
    <w:rsid w:val="2D246486"/>
    <w:rsid w:val="2EA72D69"/>
    <w:rsid w:val="2EAE2349"/>
    <w:rsid w:val="2FBD15E9"/>
    <w:rsid w:val="356B2D42"/>
    <w:rsid w:val="36D93CDC"/>
    <w:rsid w:val="389E0DBC"/>
    <w:rsid w:val="3989662F"/>
    <w:rsid w:val="3BD50F16"/>
    <w:rsid w:val="3BF34C0B"/>
    <w:rsid w:val="3D235CB1"/>
    <w:rsid w:val="3F312907"/>
    <w:rsid w:val="417B17EA"/>
    <w:rsid w:val="43C81F3E"/>
    <w:rsid w:val="45C0387F"/>
    <w:rsid w:val="48A7231C"/>
    <w:rsid w:val="48B16866"/>
    <w:rsid w:val="4A187F3F"/>
    <w:rsid w:val="4CEF0E59"/>
    <w:rsid w:val="4D533DAD"/>
    <w:rsid w:val="51221504"/>
    <w:rsid w:val="56F25010"/>
    <w:rsid w:val="59CF2FF0"/>
    <w:rsid w:val="5A1A4232"/>
    <w:rsid w:val="5DDE3AF1"/>
    <w:rsid w:val="5ECE7D1A"/>
    <w:rsid w:val="606C77EB"/>
    <w:rsid w:val="61483DB4"/>
    <w:rsid w:val="67801DCE"/>
    <w:rsid w:val="68C06926"/>
    <w:rsid w:val="6E1B65DA"/>
    <w:rsid w:val="70501C9B"/>
    <w:rsid w:val="71141A58"/>
    <w:rsid w:val="720D3098"/>
    <w:rsid w:val="78C23FF4"/>
    <w:rsid w:val="7E130E4E"/>
    <w:rsid w:val="7E9549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2072</Words>
  <Characters>2126</Characters>
  <Lines>0</Lines>
  <Paragraphs>0</Paragraphs>
  <TotalTime>7190</TotalTime>
  <ScaleCrop>false</ScaleCrop>
  <LinksUpToDate>false</LinksUpToDate>
  <CharactersWithSpaces>2127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2025-03-03T01:48:00Z</dcterms:created>
  <dc:creator>dh</dc:creator>
  <cp:lastModifiedBy>dh</cp:lastModifiedBy>
  <cp:lastPrinted>2025-03-10T02:11:00Z</cp:lastPrinted>
  <dcterms:modified xsi:type="dcterms:W3CDTF">2025-03-12T10:31:05Z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eyJoZGlkIjoiMTUyMWFhZThiMjU2MDk3NzcwMjVjZTY0M2Q4NDAxNWQifQ==</vt:lpwstr>
  </property>
  <property fmtid="{D5CDD505-2E9C-101B-9397-08002B2CF9AE}" pid="4" name="ICV">
    <vt:lpwstr>94B0E057FAC34622949E47838CFB5065_12</vt:lpwstr>
  </property>
</Properties>
</file>